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{d.dynamic.FLNC.data}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{d.dynamic.variantInfo.data.Location}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{d.dynamic.variantInfo.data.Variation}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{d.dynamic.variantInfo.data.rowData[0].%}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phred quality score:  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{d.dynamic.variantInfo.data.phredscore}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{d.dynamic.variantInfo.data.Variation}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{d.dynamic.variantInfo.data.rowData[6]}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20" w:before="120" w:line="36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{#d.static.references.data}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{.}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{/d.static.references.data}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{d.coverageSummary.meanDepth}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{d.coverageSummary.percentageCovered}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{d.dynamic.databaseInformation.rowData[1][5]}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