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9"/>
          <w:sz w:val="44"/>
          <w:szCs w:val="44"/>
        </w:rPr>
        <w:t xml:space="preserve">Tracking Employee AI Usage</w:t>
      </w:r>
    </w:p>
    <w:p>
      <w:pPr>
        <w:pBdr>
          <w:bottom w:val="single" w:color="2a78d6" w:sz="6" w:space="6"/>
        </w:pBdr>
        <w:spacing w:after="120"/>
      </w:pPr>
      <w:r>
        <w:rPr>
          <w:i/>
          <w:iCs/>
          <w:color w:val="52514e"/>
          <w:sz w:val="24"/>
          <w:szCs w:val="24"/>
        </w:rPr>
        <w:t xml:space="preserve">All possible approaches, with and without enterprise AI plans — TokenTracker architecture note</w:t>
      </w:r>
    </w:p>
    <w:p>
      <w:pPr>
        <w:spacing w:after="120" w:line="300"/>
      </w:pPr>
      <w:r>
        <w:rPr>
          <w:color w:val="1a1a19"/>
          <w:sz w:val="22"/>
          <w:szCs w:val="22"/>
        </w:rPr>
        <w:t xml:space="preserve">This document catalogs every practical way a company can measure its employees' AI usage, what each approach can and cannot see, and which combinations make sense. It is written for IT/FinOps decision-makers at IT services firms. Two principles run through it: (1) identity and usage capture are separate problems — a directory tells you who people are, a sensor tells you what they used; (2) the right stack depends almost entirely on whether the company has organization-level AI accounts.</w:t>
      </w:r>
    </w:p>
    <w:p>
      <w:pPr>
        <w:pStyle w:val="Heading1"/>
        <w:spacing w:after="140" w:before="320"/>
      </w:pPr>
      <w:r>
        <w:t xml:space="preserve">1. The two separate problems</w:t>
      </w:r>
    </w:p>
    <w:p>
      <w:pPr>
        <w:spacing w:after="120" w:line="300"/>
      </w:pPr>
      <w:r>
        <w:rPr>
          <w:color w:val="1a1a19"/>
          <w:sz w:val="22"/>
          <w:szCs w:val="22"/>
        </w:rPr>
        <w:t xml:space="preserve">Every tracking architecture answers two independent questions: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Identity — who is this person? Solved by the directory you already run: Active Directory / Microsoft Entra ID / Okta, synced into the analytics tenant (TokenTracker implements SCIM 2.0 provisioning for this). You never build a new directory to track usage; you integrate the existing one.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Usage capture — what did they actually send to AI providers? A directory cannot see this. Something must sit in the traffic path: the provider's own admin API, a gateway, the browser, or the network.</w:t>
      </w:r>
    </w:p>
    <w:p>
      <w:pPr>
        <w:spacing w:after="120" w:line="300"/>
      </w:pPr>
      <w:r>
        <w:rPr>
          <w:color w:val="1a1a19"/>
          <w:sz w:val="22"/>
          <w:szCs w:val="22"/>
        </w:rPr>
        <w:t xml:space="preserve">Active Directory's second, underrated role: mass deployment. Group Policy can force-install a browser extension on every domain-joined machine and push proxy/CA settings — which turns several approaches below from voluntary to automatic.</w:t>
      </w:r>
    </w:p>
    <w:p>
      <w:pPr>
        <w:pStyle w:val="Heading1"/>
        <w:spacing w:after="140" w:before="320"/>
      </w:pPr>
      <w:r>
        <w:t xml:space="preserve">2. The approaches</w:t>
      </w:r>
    </w:p>
    <w:p>
      <w:pPr>
        <w:pStyle w:val="Heading2"/>
        <w:spacing w:after="100" w:before="260"/>
      </w:pPr>
      <w:r>
        <w:t xml:space="preserve">A. Provider admin APIs (usage pollers)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The provider's organization admin API is polled on a schedule for per-user, per-model token usage (OpenAI org usage/costs API; Anthropic usage &amp; cost reports).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Exact tokens (input/cached/output) and billed cost per user/API key, per model, hourly buckets.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An organization plan — ChatGPT Team/Enterprise, Anthropic Team/Enterprise, or org API accounts — plus an admin key.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Billing-grade accuracy; zero footprint on employee machines; captures API and (on enterprise plans) workspace chat usage.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Useless for companies on free/personal accounts — the common SMB case. Attribution is to user IDs / API keys, which must be mapped to real employees.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Built (OpenAI + Anthropic pollers, idempotent ingestion, identity-mapping UI).</w:t>
      </w:r>
    </w:p>
    <w:p>
      <w:pPr>
        <w:pStyle w:val="Heading2"/>
        <w:spacing w:after="100" w:before="260"/>
      </w:pPr>
      <w:r>
        <w:t xml:space="preserve">B. AI gateway with per-employee virtual keys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All internal AI calls route through a company-controlled proxy endpoint. Each employee gets a virtual key; every request is attributed, budget-checked, optionally project-tagged, then forwarded to the provider.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Exact tokens and cost per employee, per project, per request. Budget enforcement (HTTP 429 when exceeded), optional redacted prompt capture for coaching.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Ordinary pay-as-you-go API keys — no enterprise plan needed; anyone can create an API account. Employees must use tools pointed at the gateway rather than public chat sites.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The most precise and most controllable option; enables chargeback to client projects; often cheaper than per-seat subscriptions.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Does not see traffic to chatgpt.com/claude.ai in a browser; requires an internal chat UI or tool configuration.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Built (virtual keys, budgets, redaction, traffic coach, simulation mode).</w:t>
      </w:r>
    </w:p>
    <w:p>
      <w:pPr>
        <w:pStyle w:val="Heading2"/>
        <w:spacing w:after="100" w:before="260"/>
      </w:pPr>
      <w:r>
        <w:t xml:space="preserve">C. Browser extension telemetry (works with free accounts)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A browser extension sits in the prompt box of ChatGPT, Claude, Gemini, Copilot etc., estimates tokens typed locally, and reports counters only — never prompt content — to the analytics tenant.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Estimated input tokens per employee, per site, per day; coaching stats (tokens saved). Roughly ±15% accuracy versus real tokenizers.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Extension deployed to employee browsers — automatic via AD/Entra Group Policy (ExtensionInstallForcelist) on managed machines.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The only per-employee measurement that works when the company has no org plan at all; content never leaves the machine; doubles as a live cost coach that reduces usage.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Estimates, input-side only; browser-only (misses desktop apps); managed browsers only.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Extension built (Prompt Coach v0.3.3, local-only). Telemetry reporting endpoint + dashboard panel is the next small build.</w:t>
      </w:r>
    </w:p>
    <w:p>
      <w:pPr>
        <w:pStyle w:val="Heading2"/>
        <w:spacing w:after="100" w:before="260"/>
      </w:pPr>
      <w:r>
        <w:t xml:space="preserve">D. Directory integration and GPO deployment (the enabler)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Active Directory / Entra ID / Okta pushes the employee roster via SCIM; Group Policy force-installs the extension and configures managed browsers.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No usage data itself — names, teams, join/leave events, and guaranteed sensor coverage.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The directory the office already runs; domain-joined or MDM-managed machines.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Automatic joiner/leaver hygiene; turns approach C from voluntary to universal; single source of truth for who exists.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Pure identity — must be paired with a capture approach (A, B, C, E or F).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SCIM 2.0 server, CSV import and unmatched-ID mapping built. GPO deployment guide: to write.</w:t>
      </w:r>
    </w:p>
    <w:p>
      <w:pPr>
        <w:pStyle w:val="Heading2"/>
        <w:spacing w:after="100" w:before="260"/>
      </w:pPr>
      <w:r>
        <w:t xml:space="preserve">E. Seat-license connectors (Copilot, Cursor, …)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Admin APIs of flat-rate per-seat tools are polled for seat assignments and last-activity timestamps (e.g. GitHub Copilot billing/seats API, Cursor team API).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Who holds each paid seat, cost per seat, idle seats — often the largest recoverable AI spend.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Business-tier accounts of those tools (not enterprise AI plans) and an admin token.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Directly finds money (idle seats = cancellable dollars); trivially accurate.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Covers seat tools only, not token-based usage.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Built (Copilot + Cursor sync with demo fallback; idle-seat suggestions).</w:t>
      </w:r>
    </w:p>
    <w:p>
      <w:pPr>
        <w:pStyle w:val="Heading2"/>
        <w:spacing w:after="100" w:before="260"/>
      </w:pPr>
      <w:r>
        <w:t xml:space="preserve">F. Network-level discovery (DNS / firewall / proxy logs)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The office firewall or DNS resolver already logs which device connects to which AI domain and how many bytes flow. Logs are imported and joined against the directory.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Who uses which AI tools, how often, rough volume. No content, no token counts.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Log export from existing network gear; device-to-user mapping (which AD provides).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Zero client footprint; catches shadow AI the other sensors miss (personal devices on office Wi-Fi, desktop apps, unknown tools).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Discovery-grade only — sessions and bytes, not tokens or cost.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Roadmap (log importer).</w:t>
      </w:r>
    </w:p>
    <w:p>
      <w:pPr>
        <w:pStyle w:val="Heading2"/>
        <w:spacing w:after="100" w:before="260"/>
      </w:pPr>
      <w:r>
        <w:t xml:space="preserve">G. Full TLS interception (documented, not recommended)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A corporate proxy decrypts HTTPS to AI sites using a root certificate pushed to all machines via GPO, logging full request/response traffic.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In principle everything, including prompt content.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SSL-inspection proxy, CA deployment, and a legal/HR framework for reading employee communications.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Complete visibility without provider cooperation.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Brittle (certificate pinning, streaming protocols); bytes still are not tokens; serious privacy, consent and, in several jurisdictions, legal exposure; erodes employee trust. The same outcomes are achievable with B + C at a fraction of the risk.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Deliberately not implemented.</w:t>
      </w:r>
    </w:p>
    <w:p>
      <w:pPr>
        <w:pStyle w:val="Heading2"/>
        <w:spacing w:after="100" w:before="260"/>
      </w:pPr>
      <w:r>
        <w:t xml:space="preserve">H. Manual / CSV import (fallback)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How it works: </w:t>
      </w:r>
      <w:r>
        <w:rPr>
          <w:color w:val="1a1a19"/>
          <w:sz w:val="22"/>
          <w:szCs w:val="22"/>
        </w:rPr>
        <w:t xml:space="preserve">Monthly invoice or usage exports from providers are uploaded as CSV.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Data you get: </w:t>
      </w:r>
      <w:r>
        <w:rPr>
          <w:color w:val="1a1a19"/>
          <w:sz w:val="22"/>
          <w:szCs w:val="22"/>
        </w:rPr>
        <w:t xml:space="preserve">Whatever the invoice shows — usually org totals, sometimes per-user.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Requirements: </w:t>
      </w:r>
      <w:r>
        <w:rPr>
          <w:color w:val="1a1a19"/>
          <w:sz w:val="22"/>
          <w:szCs w:val="22"/>
        </w:rPr>
        <w:t xml:space="preserve">Someone's time each month.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Strengths: </w:t>
      </w:r>
      <w:r>
        <w:rPr>
          <w:color w:val="1a1a19"/>
          <w:sz w:val="22"/>
          <w:szCs w:val="22"/>
        </w:rPr>
        <w:t xml:space="preserve">Works with literally anything.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Limitations: </w:t>
      </w:r>
      <w:r>
        <w:rPr>
          <w:color w:val="1a1a19"/>
          <w:sz w:val="22"/>
          <w:szCs w:val="22"/>
        </w:rPr>
        <w:t xml:space="preserve">Stale, coarse, easy to stop doing.</w:t>
      </w:r>
    </w:p>
    <w:p>
      <w:pPr>
        <w:spacing w:after="60" w:line="280"/>
      </w:pPr>
      <w:r>
        <w:rPr>
          <w:b/>
          <w:bCs/>
          <w:color w:val="52514e"/>
          <w:sz w:val="22"/>
          <w:szCs w:val="22"/>
        </w:rPr>
        <w:t xml:space="preserve">Status in TokenTracker: </w:t>
      </w:r>
      <w:r>
        <w:rPr>
          <w:color w:val="1a1a19"/>
          <w:sz w:val="22"/>
          <w:szCs w:val="22"/>
        </w:rPr>
        <w:t xml:space="preserve">Directory CSV import built; usage CSV import is trivial to add.</w:t>
      </w:r>
    </w:p>
    <w:p>
      <w:pPr>
        <w:pStyle w:val="Heading1"/>
        <w:spacing w:after="140" w:before="320"/>
      </w:pPr>
      <w:r>
        <w:t xml:space="preserve">3. Side-by-side comparison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50"/>
        <w:gridCol w:w="1450"/>
        <w:gridCol w:w="1600"/>
        <w:gridCol w:w="1400"/>
      </w:tblGrid>
      <w:tr>
        <w:trPr>
          <w:tblHeader/>
        </w:trPr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Approach</w:t>
            </w:r>
          </w:p>
        </w:tc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Precision</w:t>
            </w:r>
          </w:p>
        </w:tc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Needs org plan?</w:t>
            </w:r>
          </w:p>
        </w:tc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Sees web chat?</w:t>
            </w:r>
          </w:p>
        </w:tc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Sees content?</w:t>
            </w:r>
          </w:p>
        </w:tc>
        <w:tc>
          <w:tcPr>
            <w:tcW w:type="dxa" w:w="1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9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A. Provider admin APIs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Exact (billing)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Yes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Enterprise only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B. Gateway + virtual keys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Exact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 (API keys)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Opt-in, redacted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C. Extension telemetry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Estimate ±15%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Yes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Never leaves device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Low-medium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D. Directory + GPO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n/a (identity)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n/a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E. Seat connectors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Exact (seats)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Business tier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n/a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F. Network discovery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Sessions/bytes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Presence only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G. TLS interception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Bytes, content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Yes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Yes (the problem)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High + risk</w:t>
            </w:r>
          </w:p>
        </w:tc>
      </w:tr>
      <w:tr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H. CSV import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Invoice-level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</w:t>
            </w:r>
          </w:p>
        </w:tc>
        <w:tc>
          <w:tcPr>
            <w:tcW w:type="dxa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</w:pPr>
      <w:r>
        <w:rPr>
          <w:color w:val="1a1a19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t xml:space="preserve">4. Recommended stacks</w:t>
      </w:r>
    </w:p>
    <w:p>
      <w:pPr>
        <w:pStyle w:val="Heading2"/>
        <w:spacing w:after="100" w:before="260"/>
      </w:pPr>
      <w:r>
        <w:t xml:space="preserve">Company WITH org/enterprise AI accounts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A (pollers) as the precision backbone for sanctioned usage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D (SCIM) for identity; E (seat connectors) for Copilot/Cursor waste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C (extension) for coaching and to catch usage outside the org accounts</w:t>
      </w:r>
    </w:p>
    <w:p>
      <w:pPr>
        <w:pStyle w:val="Heading2"/>
        <w:spacing w:after="100" w:before="260"/>
      </w:pPr>
      <w:r>
        <w:t xml:space="preserve">Company WITHOUT any enterprise plan (the common SMB case)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C (extension telemetry via GPO) as the primary sensor — per-employee estimates on free/personal accounts, which is 90% more visibility than the current zero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B (gateway) for teams doing API work — exact numbers and budgets without any enterprise contract, often cheaper than subscriptions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F (network discovery) to find shadow tools; D for identity and deployment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Dashboards must label sources: exact (gateway/pollers) vs estimated (extension) — never silently mix the two</w:t>
      </w:r>
    </w:p>
    <w:p>
      <w:pPr>
        <w:pStyle w:val="Heading1"/>
        <w:spacing w:after="140" w:before="320"/>
      </w:pPr>
      <w:r>
        <w:t xml:space="preserve">5. Privacy and legal ground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Measure metadata, not content: token counts and destinations are usage data; prompt text is employee communication. TokenTracker's extension counts locally and reports counters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Prompt storage (gateway coaching) stays opt-in per tenant, redacted before write (emails, keys, tokens, long numbers), and self-hostable so nothing leaves the company network.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Publish a monitoring policy before deploying sensors; in several jurisdictions works-council or consent requirements apply to anything resembling interception — a second reason approach G is not implemented.</w:t>
      </w:r>
    </w:p>
    <w:p>
      <w:pPr>
        <w:pStyle w:val="Heading1"/>
        <w:spacing w:after="140" w:before="320"/>
      </w:pPr>
      <w:r>
        <w:t xml:space="preserve">6. Build status summary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Built today: pollers (A), gateway (B), extension coach (C, local), SCIM + mapping (D), seat connectors (E), CSV directory import (H).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Next small build: extension telemetry mode — options field (tenant URL + employee token), POST /api/telemetry endpoint, 'Web usage (estimated)' dashboard panel, GPO deployment guide.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9"/>
          <w:sz w:val="22"/>
          <w:szCs w:val="22"/>
        </w:rPr>
        <w:t xml:space="preserve">Roadmap: network-log importer (F), usage CSV importer (H).</w:t>
      </w:r>
    </w:p>
    <w:sectPr>
      <w:pgSz w:w="12240" w:h="15840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1a19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2026-07-14T18:07:45.482Z</dcterms:created>
  <dcterms:modified xsi:type="dcterms:W3CDTF">2026-07-14T18:07:45.484Z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