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Sales &amp; Profit Dashboard — Business Insights &amp; Recommendations</w:t>
      </w:r>
    </w:p>
    <w:p>
      <w:pPr>
        <w:pStyle w:val="Heading1"/>
      </w:pPr>
      <w:r>
        <w:t>Key Findings</w:t>
      </w:r>
    </w:p>
    <w:p>
      <w:pPr>
        <w:pStyle w:val="ListBullet"/>
      </w:pPr>
      <w:r>
        <w:t>Total sales are ₹2,305,506.80 and total profit is ₹373,123.74, giving an overall profit margin of 16.18%.</w:t>
      </w:r>
    </w:p>
    <w:p>
      <w:pPr>
        <w:pStyle w:val="ListBullet"/>
      </w:pPr>
      <w:r>
        <w:t>2025 generated higher sales (₹1,445,283.39) than 2026 (₹860,223.41); the periods are not full-year comparable because 2026 data runs only through 16-05-2026.</w:t>
      </w:r>
    </w:p>
    <w:p>
      <w:pPr>
        <w:pStyle w:val="ListBullet"/>
      </w:pPr>
      <w:r>
        <w:t>Furniture is the top category by sales with ₹945,059.41.</w:t>
      </w:r>
    </w:p>
    <w:p>
      <w:pPr>
        <w:pStyle w:val="ListBullet"/>
      </w:pPr>
      <w:r>
        <w:t>Printer is the top sub-category by sales with ₹363,708.85.</w:t>
      </w:r>
    </w:p>
    <w:p>
      <w:pPr>
        <w:pStyle w:val="ListBullet"/>
      </w:pPr>
      <w:r>
        <w:t>Karnataka is the leading state by sales with ₹452,163.28.</w:t>
      </w:r>
    </w:p>
    <w:p>
      <w:pPr>
        <w:pStyle w:val="ListBullet"/>
      </w:pPr>
      <w:r>
        <w:t>Priya Singh is the highest-profit customer with ₹98,910.50 profit.</w:t>
      </w:r>
    </w:p>
    <w:p>
      <w:pPr>
        <w:pStyle w:val="ListBullet"/>
      </w:pPr>
      <w:r>
        <w:t>January is the highest-sales month in the available data with ₹459,683.83; July is the lowest with ₹26,196.17.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Focus sales efforts on the leading category and sub-category while monitoring their profit margin, not sales alone.</w:t>
      </w:r>
    </w:p>
    <w:p>
      <w:pPr>
        <w:pStyle w:val="ListBullet"/>
      </w:pPr>
      <w:r>
        <w:t>Investigate lower-performing states for product mix, customer acquisition and salesperson coverage opportunities.</w:t>
      </w:r>
    </w:p>
    <w:p>
      <w:pPr>
        <w:pStyle w:val="ListBullet"/>
      </w:pPr>
      <w:r>
        <w:t>Analyze the strongest customers for retention and cross-selling opportunities.</w:t>
      </w:r>
    </w:p>
    <w:p>
      <w:pPr>
        <w:pStyle w:val="ListBullet"/>
      </w:pPr>
      <w:r>
        <w:t>Use monthly trends to plan inventory and sales campaigns around peak periods.</w:t>
      </w:r>
    </w:p>
    <w:p>
      <w:pPr>
        <w:pStyle w:val="ListBullet"/>
      </w:pPr>
      <w:r>
        <w:t>Add Order_ID and Product_ID in the source data to enable more reliable order/product-level analysis.</w:t>
      </w:r>
    </w:p>
    <w:p>
      <w:pPr>
        <w:pStyle w:val="Heading1"/>
      </w:pPr>
      <w:r>
        <w:t>Data Limitation</w:t>
      </w:r>
    </w:p>
    <w:p>
      <w:r>
        <w:t>2026 is a partial year in the supplied data, so year-over-year comparisons should be presented with a clear data-period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