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 w:val="0"/>
          <w:i w:val="0"/>
        </w:rPr>
        <w:t>[Corresponding author name]</w:t>
      </w:r>
    </w:p>
    <w:p>
      <w:pPr>
        <w:spacing w:after="0"/>
        <w:jc w:val="left"/>
      </w:pPr>
      <w:r>
        <w:rPr>
          <w:b w:val="0"/>
          <w:i w:val="0"/>
        </w:rPr>
        <w:t>[Designation], [Department]</w:t>
      </w:r>
    </w:p>
    <w:p>
      <w:pPr>
        <w:spacing w:after="0"/>
        <w:jc w:val="left"/>
      </w:pPr>
      <w:r>
        <w:rPr>
          <w:b w:val="0"/>
          <w:i w:val="0"/>
        </w:rPr>
        <w:t>[Organisation, City, Country]</w:t>
      </w:r>
    </w:p>
    <w:p>
      <w:pPr>
        <w:spacing w:after="0"/>
        <w:jc w:val="left"/>
      </w:pPr>
      <w:r>
        <w:rPr>
          <w:b w:val="0"/>
          <w:i w:val="0"/>
        </w:rPr>
        <w:t>[Email]  |  [Phone]  |  ORCID: [ORCID iD]</w:t>
      </w:r>
    </w:p>
    <w:p>
      <w:pPr>
        <w:spacing w:after="80"/>
        <w:jc w:val="left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 w:val="0"/>
          <w:i w:val="0"/>
        </w:rPr>
        <w:t>Date: [DD Month 2026]</w:t>
      </w:r>
    </w:p>
    <w:p>
      <w:pPr>
        <w:spacing w:after="0"/>
        <w:jc w:val="left"/>
      </w:pPr>
      <w:r>
        <w:rPr>
          <w:b w:val="0"/>
          <w:i w:val="0"/>
        </w:rPr>
        <w:t>To</w:t>
      </w:r>
    </w:p>
    <w:p>
      <w:pPr>
        <w:spacing w:after="0"/>
        <w:jc w:val="left"/>
      </w:pPr>
      <w:r>
        <w:rPr>
          <w:b w:val="0"/>
          <w:i w:val="0"/>
        </w:rPr>
        <w:t>The Editor-in-Chief</w:t>
      </w:r>
    </w:p>
    <w:p>
      <w:pPr>
        <w:spacing w:after="0"/>
        <w:jc w:val="left"/>
      </w:pPr>
      <w:r>
        <w:rPr>
          <w:b w:val="0"/>
          <w:i w:val="0"/>
        </w:rPr>
        <w:t>International Journal of Creative Research Thoughts (IJCRT)</w:t>
      </w:r>
    </w:p>
    <w:p>
      <w:pPr>
        <w:spacing w:after="0"/>
        <w:jc w:val="left"/>
      </w:pPr>
      <w:r>
        <w:rPr>
          <w:b w:val="0"/>
          <w:i w:val="0"/>
        </w:rPr>
        <w:t>ISSN 2320-2882  |  editor@ijcrt.org</w:t>
      </w:r>
    </w:p>
    <w:p>
      <w:pPr>
        <w:spacing w:after="80"/>
        <w:jc w:val="left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/>
          <w:i w:val="0"/>
        </w:rPr>
        <w:t xml:space="preserve">Subject: </w:t>
      </w:r>
      <w:r>
        <w:t>Submission of a research paper for consideration in IJCRT</w:t>
      </w:r>
    </w:p>
    <w:p>
      <w:pPr>
        <w:spacing w:after="80"/>
        <w:jc w:val="left"/>
      </w:pPr>
      <w:r>
        <w:rPr>
          <w:b w:val="0"/>
          <w:i w:val="0"/>
        </w:rPr>
        <w:t>Dear Editor,</w:t>
      </w:r>
    </w:p>
    <w:p>
      <w:pPr>
        <w:spacing w:after="80"/>
        <w:jc w:val="both"/>
      </w:pPr>
      <w:r>
        <w:rPr>
          <w:b w:val="0"/>
          <w:i w:val="0"/>
        </w:rPr>
        <w:t>We are pleased to submit our manuscript entitled “</w:t>
      </w:r>
      <w:r>
        <w:rPr>
          <w:i/>
        </w:rPr>
        <w:t>Shortcuts and Temporal Leakage in the Bangalore EEG Epilepsy Dataset: a Provenance Audit and Leakage-Aware Benchmark of Lightweight Seizure-Type Classifiers</w:t>
      </w:r>
      <w:r>
        <w:t>” for consideration as a research paper in the International Journal of Creative Research Thoughts. Suggested subject area: Computer Science &amp; IT / Health &amp; Medical Science (machine learning for EEG-based seizure classification).</w:t>
      </w:r>
    </w:p>
    <w:p>
      <w:pPr>
        <w:spacing w:after="80"/>
        <w:jc w:val="both"/>
      </w:pPr>
      <w:r>
        <w:rPr>
          <w:b w:val="0"/>
          <w:i w:val="0"/>
        </w:rPr>
        <w:t>The manuscript audits the public Bangalore EEG Epilepsy Dataset (BEED, UCI repository), on which several studies have reported 95–99% accuracy. It shows that the healthy class is identical to excerpts of the Bonn eyes-closed set, whereas the seizure classes behave as 16-channel time points of continuous recordings, so consecutive rows are near-duplicates and random row-level splits leak information between training and test sets.</w:t>
      </w:r>
    </w:p>
    <w:p>
      <w:pPr>
        <w:spacing w:after="80"/>
        <w:jc w:val="both"/>
      </w:pPr>
      <w:r>
        <w:rPr>
          <w:b w:val="0"/>
          <w:i w:val="0"/>
        </w:rPr>
        <w:t>Under leakage-aware protocols the pre-specified model reaches a rolling-origin macro-F1 of 0.75 ± 0.08 (four classes) and 0.68 ± 0.10 (three seizure types), and a recording amplitude fingerprint explains most of this performance.</w:t>
      </w:r>
    </w:p>
    <w:p>
      <w:pPr>
        <w:spacing w:after="80"/>
        <w:jc w:val="both"/>
      </w:pPr>
      <w:r>
        <w:rPr>
          <w:b w:val="0"/>
          <w:i w:val="0"/>
        </w:rPr>
        <w:t>The work offers practical evaluation guidance for anyone using this dataset, and a reproducible pipeline is released with the paper.</w:t>
      </w:r>
    </w:p>
    <w:p>
      <w:pPr>
        <w:spacing w:after="80"/>
        <w:jc w:val="both"/>
      </w:pPr>
      <w:r>
        <w:rPr>
          <w:b w:val="0"/>
          <w:i w:val="0"/>
        </w:rPr>
        <w:t>In submitting this manuscript, we confirm that:</w:t>
      </w:r>
    </w:p>
    <w:p>
      <w:pPr>
        <w:pStyle w:val="ListBullet"/>
        <w:jc w:val="both"/>
      </w:pPr>
      <w:r>
        <w:t>the work is original, has not been published elsewhere, and is not under consideration for publication by any other journal or conference;</w:t>
      </w:r>
    </w:p>
    <w:p>
      <w:pPr>
        <w:pStyle w:val="ListBullet"/>
        <w:jc w:val="both"/>
      </w:pPr>
      <w:r>
        <w:t>all authors have read and approved the manuscript and agree to its submission;</w:t>
      </w:r>
    </w:p>
    <w:p>
      <w:pPr>
        <w:pStyle w:val="ListBullet"/>
        <w:jc w:val="both"/>
      </w:pPr>
      <w:r>
        <w:t>All data are publicly available (UCI Machine Learning Repository); no new human or animal data were collected.</w:t>
      </w:r>
    </w:p>
    <w:p>
      <w:pPr>
        <w:pStyle w:val="ListBullet"/>
        <w:jc w:val="both"/>
      </w:pPr>
      <w:r>
        <w:t>the authors declare no conflict of interest [to be confirmed]; funding: [to be confirmed];</w:t>
      </w:r>
    </w:p>
    <w:p>
      <w:pPr>
        <w:pStyle w:val="ListBullet"/>
        <w:jc w:val="both"/>
      </w:pPr>
      <w:r>
        <w:t>the use of AI-assisted tools is disclosed in the manuscript’s declaration section [to be confirmed by the authors];</w:t>
      </w:r>
    </w:p>
    <w:p>
      <w:pPr>
        <w:pStyle w:val="ListBullet"/>
        <w:jc w:val="both"/>
      </w:pPr>
      <w:r>
        <w:t>the manuscript follows the IJCRT paper format, and its figures are supplied as separate files of at least 300 dpi.</w:t>
      </w:r>
    </w:p>
    <w:p>
      <w:pPr>
        <w:spacing w:after="80"/>
        <w:jc w:val="both"/>
      </w:pPr>
      <w:r>
        <w:rPr>
          <w:b w:val="0"/>
          <w:i w:val="0"/>
        </w:rPr>
        <w:t>If the paper is accepted, the corresponding author will submit the signed undertaking form and any other required documents. Thank you for considering our work. We look forward to your response.</w:t>
      </w:r>
    </w:p>
    <w:p>
      <w:pPr>
        <w:spacing w:after="80"/>
        <w:jc w:val="left"/>
      </w:pPr>
      <w:r>
        <w:rPr>
          <w:b w:val="0"/>
          <w:i w:val="0"/>
        </w:rPr>
        <w:t>Yours sincerely,</w:t>
      </w:r>
    </w:p>
    <w:p>
      <w:pPr>
        <w:spacing w:after="80"/>
        <w:jc w:val="left"/>
      </w:pPr>
      <w:r>
        <w:rPr>
          <w:b w:val="0"/>
          <w:i w:val="0"/>
        </w:rPr>
      </w:r>
    </w:p>
    <w:p>
      <w:pPr>
        <w:spacing w:after="0"/>
        <w:jc w:val="left"/>
      </w:pPr>
      <w:r>
        <w:rPr>
          <w:b w:val="0"/>
          <w:i w:val="0"/>
        </w:rPr>
        <w:t>[Signature]</w:t>
      </w:r>
    </w:p>
    <w:p>
      <w:pPr>
        <w:spacing w:after="0"/>
        <w:jc w:val="left"/>
      </w:pPr>
      <w:r>
        <w:rPr>
          <w:b w:val="0"/>
          <w:i w:val="0"/>
        </w:rPr>
        <w:t>[Corresponding author name], on behalf of all authors</w:t>
      </w:r>
    </w:p>
    <w:p>
      <w:pPr>
        <w:spacing w:after="0"/>
        <w:jc w:val="left"/>
      </w:pPr>
      <w:r>
        <w:rPr>
          <w:b w:val="0"/>
          <w:i w:val="0"/>
        </w:rPr>
        <w:t>[Author names and affiliations]</w:t>
      </w:r>
    </w:p>
    <w:sectPr w:rsidR="00FC693F" w:rsidRPr="0006063C" w:rsidSect="00034616">
      <w:pgSz w:w="11909" w:h="16834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