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  <w:jc w:val="left"/>
      </w:pPr>
      <w:r>
        <w:rPr>
          <w:b/>
          <w:bCs/>
          <w:color w:val="9A6A3D"/>
          <w:sz w:val="26"/>
          <w:szCs w:val="26"/>
        </w:rPr>
        <w:t xml:space="preserve">Luxus Green Mobility</w:t>
      </w:r>
    </w:p>
    <w:p>
      <w:pPr>
        <w:spacing w:after="80"/>
      </w:pPr>
      <w:r>
        <w:rPr>
          <w:b/>
          <w:bCs/>
          <w:color w:val="10222C"/>
          <w:sz w:val="56"/>
          <w:szCs w:val="56"/>
        </w:rPr>
        <w:t xml:space="preserve">EV CRM — Software Delivered</w:t>
      </w:r>
    </w:p>
    <w:p>
      <w:pPr>
        <w:spacing w:after="40"/>
      </w:pPr>
      <w:r>
        <w:rPr>
          <w:color w:val="3D4D55"/>
          <w:sz w:val="24"/>
          <w:szCs w:val="24"/>
        </w:rPr>
        <w:t xml:space="preserve">A plain-language guide to what was built and how it fits together</w:t>
      </w:r>
    </w:p>
    <w:p>
      <w:pPr>
        <w:spacing w:before="200"/>
      </w:pPr>
      <w:r>
        <w:rPr>
          <w:i/>
          <w:iCs/>
          <w:color w:val="B58863"/>
          <w:sz w:val="20"/>
          <w:szCs w:val="20"/>
        </w:rPr>
        <w:t xml:space="preserve">Covers: theme reskin · landing-page integration · dealer onboarding · dealer management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1. In one minute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This document describes the software built for the Luxus Green EV CRM. It is written so that anyone on the team — including the intern building the public landing page — can understand what exists, what each part does, and how to connect to it. Nothing here assumes deep coding knowledge; the technical reference tables are at the end for developers.</w:t>
      </w: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The system has two halves. </w:t>
      </w:r>
      <w:r>
        <w:rPr>
          <w:color w:val="3D4D55"/>
          <w:sz w:val="21"/>
          <w:szCs w:val="21"/>
        </w:rPr>
        <w:t xml:space="preserve">A public </w:t>
      </w:r>
      <w:r>
        <w:rPr>
          <w:b/>
          <w:bCs/>
          <w:color w:val="3D4D55"/>
          <w:sz w:val="21"/>
          <w:szCs w:val="21"/>
        </w:rPr>
        <w:t xml:space="preserve">landing page</w:t>
      </w:r>
      <w:r>
        <w:rPr>
          <w:color w:val="3D4D55"/>
          <w:sz w:val="21"/>
          <w:szCs w:val="21"/>
        </w:rPr>
        <w:t xml:space="preserve"> (built separately by the intern) where visitors either apply to become a dealer or ask about buying a vehicle; and the </w:t>
      </w:r>
      <w:r>
        <w:rPr>
          <w:b/>
          <w:bCs/>
          <w:color w:val="3D4D55"/>
          <w:sz w:val="21"/>
          <w:szCs w:val="21"/>
        </w:rPr>
        <w:t xml:space="preserve">CRM</w:t>
      </w:r>
      <w:r>
        <w:rPr>
          <w:color w:val="3D4D55"/>
          <w:sz w:val="21"/>
          <w:szCs w:val="21"/>
        </w:rPr>
        <w:t xml:space="preserve"> (this software) where the Luxus team manages everything that happens after a form is submitted.</w:t>
      </w:r>
    </w:p>
    <w:tbl>
      <w:tblPr>
        <w:tblW w:type="pct" w:w="100%"/>
        <w:tblBorders>
          <w:top w:val="single" w:color="EDE3DA" w:sz="4"/>
          <w:left w:val="single" w:color="EDE3DA" w:sz="4"/>
          <w:bottom w:val="single" w:color="EDE3DA" w:sz="4"/>
          <w:right w:val="single" w:color="EDE3DA" w:sz="4"/>
          <w:insideH w:val="single" w:color="EDE3DA" w:sz="4"/>
          <w:insideV w:val="single" w:color="EDE3DA" w:sz="4"/>
        </w:tblBorders>
      </w:tblPr>
      <w:tblGrid>
        <w:gridCol w:w="9360"/>
      </w:tblGrid>
      <w:tr>
        <w:tc>
          <w:tcPr>
            <w:tcW w:type="dxa" w:w="9360"/>
            <w:shd w:fill="FA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6A3D"/>
                <w:sz w:val="20"/>
                <w:szCs w:val="20"/>
              </w:rPr>
              <w:t xml:space="preserve">What was delivered in this round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1.  A new colour theme (the "Zira" palette) applied across the whole CRM.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2.  A landing-page connection that turns website form submissions into either dealer applications or sales leads — automatically.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3.  A dealer onboarding tracker that follows each applicant through 8 stages with the right documents at each step.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4.  A dealer management module to run the live dealer network: territories, targets, lead routing, finance, and after-sales.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Not included (by design): </w:t>
      </w:r>
      <w:r>
        <w:rPr>
          <w:color w:val="3D4D55"/>
          <w:sz w:val="21"/>
          <w:szCs w:val="21"/>
        </w:rPr>
        <w:t xml:space="preserve">the public landing page itself — your intern is building that. This software provides everything the page connects to.</w:t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2. How the pieces fit together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Think of a single journey, from a visitor on the website to a running dealership: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A visitor fills a form </w:t>
      </w:r>
      <w:r>
        <w:rPr>
          <w:color w:val="3D4D55"/>
          <w:sz w:val="21"/>
          <w:szCs w:val="21"/>
        </w:rPr>
        <w:t xml:space="preserve">on the landing page — choosing either "become a dealer" or "enquire about a vehicle."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The form is received </w:t>
      </w:r>
      <w:r>
        <w:rPr>
          <w:color w:val="3D4D55"/>
          <w:sz w:val="21"/>
          <w:szCs w:val="21"/>
        </w:rPr>
        <w:t xml:space="preserve">by the CRM's landing-page connection, which reads the visitor's intent.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If it's a vehicle enquiry, </w:t>
      </w:r>
      <w:r>
        <w:rPr>
          <w:color w:val="3D4D55"/>
          <w:sz w:val="21"/>
          <w:szCs w:val="21"/>
        </w:rPr>
        <w:t xml:space="preserve">it becomes a </w:t>
      </w:r>
      <w:r>
        <w:rPr>
          <w:b/>
          <w:bCs/>
          <w:color w:val="3D4D55"/>
          <w:sz w:val="21"/>
          <w:szCs w:val="21"/>
        </w:rPr>
        <w:t xml:space="preserve">Lead</w:t>
      </w:r>
      <w:r>
        <w:rPr>
          <w:color w:val="3D4D55"/>
          <w:sz w:val="21"/>
          <w:szCs w:val="21"/>
        </w:rPr>
        <w:t xml:space="preserve"> in the Leads module, ready to be routed to the nearest dealer.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If it's a dealer application, </w:t>
      </w:r>
      <w:r>
        <w:rPr>
          <w:color w:val="3D4D55"/>
          <w:sz w:val="21"/>
          <w:szCs w:val="21"/>
        </w:rPr>
        <w:t xml:space="preserve">it enters the </w:t>
      </w:r>
      <w:r>
        <w:rPr>
          <w:b/>
          <w:bCs/>
          <w:color w:val="3D4D55"/>
          <w:sz w:val="21"/>
          <w:szCs w:val="21"/>
        </w:rPr>
        <w:t xml:space="preserve">Onboarding</w:t>
      </w:r>
      <w:r>
        <w:rPr>
          <w:color w:val="3D4D55"/>
          <w:sz w:val="21"/>
          <w:szCs w:val="21"/>
        </w:rPr>
        <w:t xml:space="preserve"> pipeline at stage 1 and moves through the 8 stages as documents are verified.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Once approved and live, </w:t>
      </w:r>
      <w:r>
        <w:rPr>
          <w:color w:val="3D4D55"/>
          <w:sz w:val="21"/>
          <w:szCs w:val="21"/>
        </w:rPr>
        <w:t xml:space="preserve">that applicant becomes an operational </w:t>
      </w:r>
      <w:r>
        <w:rPr>
          <w:b/>
          <w:bCs/>
          <w:color w:val="3D4D55"/>
          <w:sz w:val="21"/>
          <w:szCs w:val="21"/>
        </w:rPr>
        <w:t xml:space="preserve">Dealer</w:t>
      </w:r>
      <w:r>
        <w:rPr>
          <w:color w:val="3D4D55"/>
          <w:sz w:val="21"/>
          <w:szCs w:val="21"/>
        </w:rPr>
        <w:t xml:space="preserve"> in the Dealer Management module.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From then on, </w:t>
      </w:r>
      <w:r>
        <w:rPr>
          <w:color w:val="3D4D55"/>
          <w:sz w:val="21"/>
          <w:szCs w:val="21"/>
        </w:rPr>
        <w:t xml:space="preserve">the dealer receives routed leads, carries sales targets, uses finance facilitation for buyers, and raises service and spare-part requests.</w:t>
      </w:r>
    </w:p>
    <w:p>
      <w:pPr>
        <w:spacing w:after="60"/>
      </w:pPr>
    </w:p>
    <w:tbl>
      <w:tblPr>
        <w:tblW w:type="pct" w:w="100%"/>
        <w:tblBorders>
          <w:top w:val="single" w:color="EDE3DA" w:sz="4"/>
          <w:left w:val="single" w:color="EDE3DA" w:sz="4"/>
          <w:bottom w:val="single" w:color="EDE3DA" w:sz="4"/>
          <w:right w:val="single" w:color="EDE3DA" w:sz="4"/>
          <w:insideH w:val="single" w:color="EDE3DA" w:sz="4"/>
          <w:insideV w:val="single" w:color="EDE3DA" w:sz="4"/>
        </w:tblBorders>
      </w:tblPr>
      <w:tblGrid>
        <w:gridCol w:w="9360"/>
      </w:tblGrid>
      <w:tr>
        <w:tc>
          <w:tcPr>
            <w:tcW w:type="dxa" w:w="9360"/>
            <w:shd w:fill="FA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6A3D"/>
                <w:sz w:val="20"/>
                <w:szCs w:val="20"/>
              </w:rPr>
              <w:t xml:space="preserve">The five modules at a glance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Leads — captures and holds every retail enquiry (already in the base CRM).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Dealer Onboarding — tracks applicants through 8 stages until they go live.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Dealer Management — runs the live network (the main new build this round).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Purchase Management — orders and invoices (base CRM; extension mapped, not built).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Landing Page integration — the connection that feeds the two entry points above.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3. The look and feel (Zira theme)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The whole CRM now uses a single, warm, muted colour palette called </w:t>
      </w:r>
      <w:r>
        <w:rPr>
          <w:b/>
          <w:bCs/>
          <w:color w:val="3D4D55"/>
          <w:sz w:val="21"/>
          <w:szCs w:val="21"/>
        </w:rPr>
        <w:t xml:space="preserve">Zira</w:t>
      </w:r>
      <w:r>
        <w:rPr>
          <w:color w:val="3D4D55"/>
          <w:sz w:val="21"/>
          <w:szCs w:val="21"/>
        </w:rPr>
        <w:t xml:space="preserve">. The goal you set was a simple, modern, practical interface with fast page switches and very little animation — so the theme is calm and low-distraction rather than flashy.</w:t>
      </w: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Why this matters for the team: </w:t>
      </w:r>
      <w:r>
        <w:rPr>
          <w:color w:val="3D4D55"/>
          <w:sz w:val="21"/>
          <w:szCs w:val="21"/>
        </w:rPr>
        <w:t xml:space="preserve">every colour in the app comes from one settings file. If you ever want to adjust a shade, it changes everywhere at once — no need to hunt through screens. Buttons use a slightly deepened camel tone so white text stays easy to read (an accessibility requirement); the brighter camel is kept for highlights and active items.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The palette</w:t>
      </w:r>
    </w:p>
    <w:tbl>
      <w:tblPr>
        <w:tblW w:type="pct" w:w="100%"/>
        <w:tblBorders>
          <w:top w:val="single" w:color="D9CFC6" w:sz="4"/>
          <w:left w:val="single" w:color="D9CFC6" w:sz="4"/>
          <w:bottom w:val="single" w:color="D9CFC6" w:sz="4"/>
          <w:right w:val="single" w:color="D9CFC6" w:sz="4"/>
          <w:insideH w:val="single" w:color="D9CFC6" w:sz="4"/>
          <w:insideV w:val="single" w:color="D9CFC6" w:sz="4"/>
        </w:tblBorders>
      </w:tblPr>
      <w:tblGrid>
        <w:gridCol w:w="3400"/>
        <w:gridCol w:w="5960"/>
      </w:tblGrid>
      <w:tr>
        <w:trPr>
          <w:tblHeader/>
        </w:trPr>
        <w:tc>
          <w:tcPr>
            <w:tcW w:type="dxa" w:w="34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Colour</w:t>
            </w:r>
          </w:p>
        </w:tc>
        <w:tc>
          <w:tcPr>
            <w:tcW w:type="dxa" w:w="596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Where it's used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Ink (very dark teal)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Main text and headings</w:t>
            </w:r>
          </w:p>
        </w:tc>
      </w:tr>
      <w:tr>
        <w:tc>
          <w:tcPr>
            <w:tcW w:type="dxa" w:w="34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Slate</w:t>
            </w:r>
          </w:p>
        </w:tc>
        <w:tc>
          <w:tcPr>
            <w:tcW w:type="dxa" w:w="59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Secondary text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Camel (signature)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Buttons, active menu items, highlights</w:t>
            </w:r>
          </w:p>
        </w:tc>
      </w:tr>
      <w:tr>
        <w:tc>
          <w:tcPr>
            <w:tcW w:type="dxa" w:w="34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Sand / Stone</w:t>
            </w:r>
          </w:p>
        </w:tc>
        <w:tc>
          <w:tcPr>
            <w:tcW w:type="dxa" w:w="59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Backgrounds and dividers</w:t>
            </w:r>
          </w:p>
        </w:tc>
      </w:tr>
      <w:tr>
        <w:tc>
          <w:tcPr>
            <w:tcW w:type="dxa" w:w="34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Sage / Ochre / Terracotta</w:t>
            </w:r>
          </w:p>
        </w:tc>
        <w:tc>
          <w:tcPr>
            <w:tcW w:type="dxa" w:w="59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Status badges: Approved / Pending / Rejected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4. Landing-page connection (for the intern)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This is the part your intern needs. The landing page does not talk to the database directly. Instead, when someone submits a form, the page sends the details to </w:t>
      </w:r>
      <w:r>
        <w:rPr>
          <w:b/>
          <w:bCs/>
          <w:color w:val="3D4D55"/>
          <w:sz w:val="21"/>
          <w:szCs w:val="21"/>
        </w:rPr>
        <w:t xml:space="preserve">one web address</w:t>
      </w:r>
      <w:r>
        <w:rPr>
          <w:color w:val="3D4D55"/>
          <w:sz w:val="21"/>
          <w:szCs w:val="21"/>
        </w:rPr>
        <w:t xml:space="preserve"> (an "endpoint"). The CRM takes it from there.</w:t>
      </w:r>
    </w:p>
    <w:tbl>
      <w:tblPr>
        <w:tblW w:type="pct" w:w="100%"/>
        <w:tblBorders>
          <w:top w:val="single" w:color="EDE3DA" w:sz="4"/>
          <w:left w:val="single" w:color="EDE3DA" w:sz="4"/>
          <w:bottom w:val="single" w:color="EDE3DA" w:sz="4"/>
          <w:right w:val="single" w:color="EDE3DA" w:sz="4"/>
          <w:insideH w:val="single" w:color="EDE3DA" w:sz="4"/>
          <w:insideV w:val="single" w:color="EDE3DA" w:sz="4"/>
        </w:tblBorders>
      </w:tblPr>
      <w:tblGrid>
        <w:gridCol w:w="9360"/>
      </w:tblGrid>
      <w:tr>
        <w:tc>
          <w:tcPr>
            <w:tcW w:type="dxa" w:w="9360"/>
            <w:shd w:fill="FA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9A6A3D"/>
                <w:sz w:val="20"/>
                <w:szCs w:val="20"/>
              </w:rPr>
              <w:t xml:space="preserve">The one address to send form submissions to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POST   /api/v1/ingest/landing-page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/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Every submission goes here. A single field called "intent" tells the CRM what kind of submission it is.</w:t>
            </w:r>
          </w:p>
        </w:tc>
      </w:tr>
    </w:tbl>
    <w:p>
      <w:pPr>
        <w:spacing w:after="60"/>
      </w:pP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The one field that decides everything: intent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0222C"/>
          <w:sz w:val="19"/>
          <w:szCs w:val="19"/>
        </w:rPr>
        <w:t xml:space="preserve">intent: "dealership_application"</w:t>
      </w:r>
      <w:r>
        <w:rPr>
          <w:color w:val="3D4D55"/>
          <w:sz w:val="21"/>
          <w:szCs w:val="21"/>
        </w:rPr>
        <w:t xml:space="preserve">  → creates a dealer application and starts onboarding.</w:t>
      </w:r>
    </w:p>
    <w:p>
      <w:pPr>
        <w:pStyle w:val="ListParagraph"/>
        <w:numPr>
          <w:ilvl w:val="0"/>
          <w:numId w:val="3"/>
        </w:numPr>
        <w:spacing w:after="70" w:line="270"/>
      </w:pPr>
      <w:r>
        <w:rPr>
          <w:rFonts w:ascii="Consolas" w:cs="Consolas" w:eastAsia="Consolas" w:hAnsi="Consolas"/>
          <w:color w:val="10222C"/>
          <w:sz w:val="19"/>
          <w:szCs w:val="19"/>
        </w:rPr>
        <w:t xml:space="preserve">intent: "retail_inquiry"</w:t>
      </w:r>
      <w:r>
        <w:rPr>
          <w:color w:val="3D4D55"/>
          <w:sz w:val="21"/>
          <w:szCs w:val="21"/>
        </w:rPr>
        <w:t xml:space="preserve">  → creates a sales lead in the Leads module.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If the intent is missing, the CRM makes a sensible guess from the other fields, but it is best for the landing page to always send it explicitly.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Example: a dealer application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The landing page sends something like this (the field names can vary — common spellings are accepted):</w:t>
      </w:r>
    </w:p>
    <w:tbl>
      <w:tblPr>
        <w:tblW w:type="pct" w:w="100%"/>
        <w:tblBorders>
          <w:top w:val="single" w:color="E5DACF" w:sz="4"/>
          <w:left w:val="single" w:color="E5DACF" w:sz="4"/>
          <w:bottom w:val="single" w:color="E5DACF" w:sz="4"/>
          <w:right w:val="single" w:color="E5DACF" w:sz="4"/>
          <w:insideH w:val="single" w:color="E5DACF" w:sz="4"/>
          <w:insideV w:val="single" w:color="E5DACF" w:sz="4"/>
        </w:tblBorders>
      </w:tblPr>
      <w:tblGrid>
        <w:gridCol w:w="9360"/>
      </w:tblGrid>
      <w:tr>
        <w:tc>
          <w:tcPr>
            <w:tcW w:type="dxa" w:w="9360"/>
            <w:shd w:fill="F5F0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"intent": "dealership_application",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"firstName": "Rajesh",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"lastName": "Kumar",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"email": "rajesh@example.com",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"phone": "9876543210",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"company": "Kumar Motors",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"city": "Bilaspur",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"state": "Chhattisgarh",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"utm_source": "google"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}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Example: a vehicle enquiry</w:t>
      </w:r>
    </w:p>
    <w:tbl>
      <w:tblPr>
        <w:tblW w:type="pct" w:w="100%"/>
        <w:tblBorders>
          <w:top w:val="single" w:color="E5DACF" w:sz="4"/>
          <w:left w:val="single" w:color="E5DACF" w:sz="4"/>
          <w:bottom w:val="single" w:color="E5DACF" w:sz="4"/>
          <w:right w:val="single" w:color="E5DACF" w:sz="4"/>
          <w:insideH w:val="single" w:color="E5DACF" w:sz="4"/>
          <w:insideV w:val="single" w:color="E5DACF" w:sz="4"/>
        </w:tblBorders>
      </w:tblPr>
      <w:tblGrid>
        <w:gridCol w:w="9360"/>
      </w:tblGrid>
      <w:tr>
        <w:tc>
          <w:tcPr>
            <w:tcW w:type="dxa" w:w="9360"/>
            <w:shd w:fill="F5F0EA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{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"intent": "retail_inquiry",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"firstName": "Anita",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"phone": "9812345678",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"email": "anita@example.com",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"state": "Madhya Pradesh",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  "vehicle_interest": "LX Lifter"</w:t>
            </w:r>
          </w:p>
          <w:p>
            <w:pPr>
              <w:spacing w:after="10"/>
            </w:pPr>
            <w:r>
              <w:rPr>
                <w:rFonts w:ascii="Consolas" w:cs="Consolas" w:eastAsia="Consolas" w:hAnsi="Consolas"/>
                <w:color w:val="10222C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Good to know: </w:t>
      </w:r>
      <w:r>
        <w:rPr>
          <w:color w:val="3D4D55"/>
          <w:sz w:val="21"/>
          <w:szCs w:val="21"/>
        </w:rPr>
        <w:t xml:space="preserve">the CRM automatically avoids duplicates — if the same person submits twice, it links the new submission to the existing record instead of creating a second one. It also captures marketing tags (utm_source, utm_campaign, etc.) so you can see where each lead came from.</w:t>
      </w:r>
    </w:p>
    <w:tbl>
      <w:tblPr>
        <w:tblW w:type="pct" w:w="100%"/>
        <w:tblBorders>
          <w:top w:val="single" w:color="EDE3DA" w:sz="4"/>
          <w:left w:val="single" w:color="EDE3DA" w:sz="4"/>
          <w:bottom w:val="single" w:color="EDE3DA" w:sz="4"/>
          <w:right w:val="single" w:color="EDE3DA" w:sz="4"/>
          <w:insideH w:val="single" w:color="EDE3DA" w:sz="4"/>
          <w:insideV w:val="single" w:color="EDE3DA" w:sz="4"/>
        </w:tblBorders>
      </w:tblPr>
      <w:tblGrid>
        <w:gridCol w:w="9360"/>
      </w:tblGrid>
      <w:tr>
        <w:tc>
          <w:tcPr>
            <w:tcW w:type="dxa" w:w="9360"/>
            <w:shd w:fill="FAF6F1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C8A73"/>
                <w:sz w:val="20"/>
                <w:szCs w:val="20"/>
              </w:rPr>
              <w:t xml:space="preserve">Testing tip for the intern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There is a test address you can open in a browser to confirm the connection is alive before wiring the real form:</w:t>
            </w:r>
          </w:p>
          <w:p>
            <w:pPr>
              <w:spacing w:after="40"/>
            </w:pPr>
            <w:r>
              <w:rPr>
                <w:color w:val="3D4D55"/>
                <w:sz w:val="20"/>
                <w:szCs w:val="20"/>
              </w:rPr>
              <w:t xml:space="preserve">GET   /api/v1/ingest/test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5. Dealer onboarding tracker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When someone applies to become a dealer, their application moves through </w:t>
      </w:r>
      <w:r>
        <w:rPr>
          <w:b/>
          <w:bCs/>
          <w:color w:val="3D4D55"/>
          <w:sz w:val="21"/>
          <w:szCs w:val="21"/>
        </w:rPr>
        <w:t xml:space="preserve">eight stages</w:t>
      </w:r>
      <w:r>
        <w:rPr>
          <w:color w:val="3D4D55"/>
          <w:sz w:val="21"/>
          <w:szCs w:val="21"/>
        </w:rPr>
        <w:t xml:space="preserve">. Each stage has its own checklist of documents. An application can only move forward when the required documents for its current stage are marked verified — so nothing slips through half-finished.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The eight stages</w:t>
      </w:r>
    </w:p>
    <w:tbl>
      <w:tblPr>
        <w:tblW w:type="pct" w:w="100%"/>
        <w:tblBorders>
          <w:top w:val="single" w:color="D9CFC6" w:sz="4"/>
          <w:left w:val="single" w:color="D9CFC6" w:sz="4"/>
          <w:bottom w:val="single" w:color="D9CFC6" w:sz="4"/>
          <w:right w:val="single" w:color="D9CFC6" w:sz="4"/>
          <w:insideH w:val="single" w:color="D9CFC6" w:sz="4"/>
          <w:insideV w:val="single" w:color="D9CFC6" w:sz="4"/>
        </w:tblBorders>
      </w:tblPr>
      <w:tblGrid>
        <w:gridCol w:w="560"/>
        <w:gridCol w:w="2900"/>
        <w:gridCol w:w="5900"/>
      </w:tblGrid>
      <w:tr>
        <w:trPr>
          <w:tblHeader/>
        </w:trPr>
        <w:tc>
          <w:tcPr>
            <w:tcW w:type="dxa" w:w="56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#</w:t>
            </w:r>
          </w:p>
        </w:tc>
        <w:tc>
          <w:tcPr>
            <w:tcW w:type="dxa" w:w="29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Stage</w:t>
            </w:r>
          </w:p>
        </w:tc>
        <w:tc>
          <w:tcPr>
            <w:tcW w:type="dxa" w:w="59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What happens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Application</w:t>
            </w:r>
          </w:p>
        </w:tc>
        <w:tc>
          <w:tcPr>
            <w:tcW w:type="dxa" w:w="5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Basic details captured from the landing page.</w:t>
            </w:r>
          </w:p>
        </w:tc>
      </w:tr>
      <w:tr>
        <w:tc>
          <w:tcPr>
            <w:tcW w:type="dxa" w:w="5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2</w:t>
            </w:r>
          </w:p>
        </w:tc>
        <w:tc>
          <w:tcPr>
            <w:tcW w:type="dxa" w:w="2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Screening &amp; NDA</w:t>
            </w:r>
          </w:p>
        </w:tc>
        <w:tc>
          <w:tcPr>
            <w:tcW w:type="dxa" w:w="5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Initial check and non-disclosure agreement.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Business proposal</w:t>
            </w:r>
          </w:p>
        </w:tc>
        <w:tc>
          <w:tcPr>
            <w:tcW w:type="dxa" w:w="5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Dealer's business plan and investment discussion.</w:t>
            </w:r>
          </w:p>
        </w:tc>
      </w:tr>
      <w:tr>
        <w:tc>
          <w:tcPr>
            <w:tcW w:type="dxa" w:w="5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4</w:t>
            </w:r>
          </w:p>
        </w:tc>
        <w:tc>
          <w:tcPr>
            <w:tcW w:type="dxa" w:w="2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Due diligence</w:t>
            </w:r>
          </w:p>
        </w:tc>
        <w:tc>
          <w:tcPr>
            <w:tcW w:type="dxa" w:w="5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KYC, GST and financial verification.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Legal agreement</w:t>
            </w:r>
          </w:p>
        </w:tc>
        <w:tc>
          <w:tcPr>
            <w:tcW w:type="dxa" w:w="5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Dealership agreement signed.</w:t>
            </w:r>
          </w:p>
        </w:tc>
      </w:tr>
      <w:tr>
        <w:tc>
          <w:tcPr>
            <w:tcW w:type="dxa" w:w="5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6</w:t>
            </w:r>
          </w:p>
        </w:tc>
        <w:tc>
          <w:tcPr>
            <w:tcW w:type="dxa" w:w="2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Facility &amp; branding</w:t>
            </w:r>
          </w:p>
        </w:tc>
        <w:tc>
          <w:tcPr>
            <w:tcW w:type="dxa" w:w="5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Showroom readiness and branding.</w:t>
            </w:r>
          </w:p>
        </w:tc>
      </w:tr>
      <w:tr>
        <w:tc>
          <w:tcPr>
            <w:tcW w:type="dxa" w:w="5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Staff training</w:t>
            </w:r>
          </w:p>
        </w:tc>
        <w:tc>
          <w:tcPr>
            <w:tcW w:type="dxa" w:w="59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Sales and service training completed.</w:t>
            </w:r>
          </w:p>
        </w:tc>
      </w:tr>
      <w:tr>
        <w:tc>
          <w:tcPr>
            <w:tcW w:type="dxa" w:w="5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8</w:t>
            </w:r>
          </w:p>
        </w:tc>
        <w:tc>
          <w:tcPr>
            <w:tcW w:type="dxa" w:w="2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Go-live</w:t>
            </w:r>
          </w:p>
        </w:tc>
        <w:tc>
          <w:tcPr>
            <w:tcW w:type="dxa" w:w="59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Dealer is activated and starts trading.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The monitoring screen </w:t>
      </w:r>
      <w:r>
        <w:rPr>
          <w:color w:val="3D4D55"/>
          <w:sz w:val="21"/>
          <w:szCs w:val="21"/>
        </w:rPr>
        <w:t xml:space="preserve">shows every application as a pipeline, with counts at each stage, a filterable list, and a detail panel where the team ticks off documents, moves an application forward, or puts it on hold. The document checklists come straight from the onboarding documents you provided.</w:t>
      </w: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Verification services: </w:t>
      </w:r>
      <w:r>
        <w:rPr>
          <w:color w:val="3D4D55"/>
          <w:sz w:val="21"/>
          <w:szCs w:val="21"/>
        </w:rPr>
        <w:t xml:space="preserve">the checklist items map to India-specific verification tools (for KYC, GST and e-signature) so those checks can be automated later. The connection points are already labelled in the code.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6. Dealer management (running the network)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Once a dealer is live, this module runs the day-to-day relationship. It is modelled on how Luxus Green actually operates — dealers spread across many states, leads handed to the nearest dealer, finance arranged through NBFC partners, and a promise of quick spares and trained service. There are five working parts.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6.1  Dealer master &amp; territory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Every live dealer has a record with their code (like </w:t>
      </w:r>
      <w:r>
        <w:rPr>
          <w:rFonts w:ascii="Consolas" w:cs="Consolas" w:eastAsia="Consolas" w:hAnsi="Consolas"/>
          <w:color w:val="10222C"/>
          <w:sz w:val="19"/>
          <w:szCs w:val="19"/>
        </w:rPr>
        <w:t xml:space="preserve">LGM-MP-001</w:t>
      </w:r>
      <w:r>
        <w:rPr>
          <w:color w:val="3D4D55"/>
          <w:sz w:val="21"/>
          <w:szCs w:val="21"/>
        </w:rPr>
        <w:t xml:space="preserve">), tier (Standard / Premium / Flagship), which vehicle segments they sell (L5, L3, Customised), their assigned Luxus relationship manager, credit limit, and the </w:t>
      </w:r>
      <w:r>
        <w:rPr>
          <w:b/>
          <w:bCs/>
          <w:color w:val="3D4D55"/>
          <w:sz w:val="21"/>
          <w:szCs w:val="21"/>
        </w:rPr>
        <w:t xml:space="preserve">territory</w:t>
      </w:r>
      <w:r>
        <w:rPr>
          <w:color w:val="3D4D55"/>
          <w:sz w:val="21"/>
          <w:szCs w:val="21"/>
        </w:rPr>
        <w:t xml:space="preserve"> they cover (by state, and optionally by district). Territory is what makes automatic lead routing possible.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6.2  Lead routing to the nearest dealer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This is Luxus Green's model of passing local leads to the nearest authorised dealer, made automatic. When a retail lead arrives, the CRM finds the best-matching dealer by location — first an exact district match, then a state-wide match — and, among equally-good matches, prefers a protected (exclusive) territory, a higher tier, and the dealer currently handling the fewest open leads (so work is shared fairly). A team member can always override and assign manually.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6.3  Targets vs. actuals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Each dealer can be given monthly or quarterly targets — number of units and revenue, optionally split by vehicle segment. The CRM then tracks what they actually achieved and shows attainment as a percentage, plus their lead-to-sale conversion rate. Actuals can be filled automatically from order data by a nightly job, or entered manually.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6.4  Finance facilitation (NBFC bridge)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Because financing is the biggest hurdle in commercial EV sales, Luxus acts as a bridge to NBFCs and banks. The CRM tracks each buyer's finance case through a clear pipeline — New, Documents pending, Submitted, Approved, Disbursed, or Rejected — so both the dealer and Luxus can see where every deal is stuck and clear it.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6.5  After-sales: service &amp; spare parts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To protect the dealer's local reputation, the module includes simple service tickets (with priority and status, from Open to Resolved) and spare-part requests (Requested → Approved → Dispatched → Delivered). Each gets an auto-generated reference number.</w:t>
      </w:r>
    </w:p>
    <w:p>
      <w:pPr>
        <w:spacing w:after="60"/>
      </w:pP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The management screen </w:t>
      </w:r>
      <w:r>
        <w:rPr>
          <w:color w:val="3D4D55"/>
          <w:sz w:val="21"/>
          <w:szCs w:val="21"/>
        </w:rPr>
        <w:t xml:space="preserve">opens with network-wide figures (active dealers, states covered, open finance cases, open service tickets), a filterable dealer list, and a detail panel showing that dealer's territory, this month's target attainment, routed leads, finance cases, and recent service tickets — all in one view.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7. How a developer installs this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All of the delivered code drops into the existing CRM codebase (the InnoCRM / Synkro base). It follows the same patterns already in use, so it fits in without rework. In short: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Apply the theme: </w:t>
      </w:r>
      <w:r>
        <w:rPr>
          <w:color w:val="3D4D55"/>
          <w:sz w:val="21"/>
          <w:szCs w:val="21"/>
        </w:rPr>
        <w:t xml:space="preserve">replace the one styles file with the delivered Zira version.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Add the data models: </w:t>
      </w:r>
      <w:r>
        <w:rPr>
          <w:color w:val="3D4D55"/>
          <w:sz w:val="21"/>
          <w:szCs w:val="21"/>
        </w:rPr>
        <w:t xml:space="preserve">paste the provided database models into the schema, add the few noted back-links, and run the usual database migrate command.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Add the backend files: </w:t>
      </w:r>
      <w:r>
        <w:rPr>
          <w:color w:val="3D4D55"/>
          <w:sz w:val="21"/>
          <w:szCs w:val="21"/>
        </w:rPr>
        <w:t xml:space="preserve">drop the controller, service and route files into the API folders and register the new routes.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Add the screens: </w:t>
      </w:r>
      <w:r>
        <w:rPr>
          <w:color w:val="3D4D55"/>
          <w:sz w:val="21"/>
          <w:szCs w:val="21"/>
        </w:rPr>
        <w:t xml:space="preserve">copy the two page files into the web app (Dealer Onboarding and Dealer Management).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b/>
          <w:bCs/>
          <w:color w:val="3D4D55"/>
          <w:sz w:val="21"/>
          <w:szCs w:val="21"/>
        </w:rPr>
        <w:t xml:space="preserve">Set two secrets: </w:t>
      </w:r>
      <w:r>
        <w:rPr>
          <w:color w:val="3D4D55"/>
          <w:sz w:val="21"/>
          <w:szCs w:val="21"/>
        </w:rPr>
        <w:t xml:space="preserve">a webhook signing secret for the landing-page connection, and the verification-service keys when you're ready to automate KYC/GST checks.</w:t>
      </w: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A step-by-step README </w:t>
      </w:r>
      <w:r>
        <w:rPr>
          <w:color w:val="3D4D55"/>
          <w:sz w:val="21"/>
          <w:szCs w:val="21"/>
        </w:rPr>
        <w:t xml:space="preserve">is included with the code, listing exact file locations and the back-links to add.</w:t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8. Technical reference: endpoints</w:t>
      </w:r>
    </w:p>
    <w:p>
      <w:pPr>
        <w:spacing w:after="120" w:line="276"/>
      </w:pPr>
      <w:r>
        <w:rPr>
          <w:color w:val="3D4D55"/>
          <w:sz w:val="21"/>
          <w:szCs w:val="21"/>
        </w:rPr>
        <w:t xml:space="preserve">For developers. All CRM endpoints require an admin login except the public landing-page intake. "Body" fields are sent as JSON.</w:t>
      </w:r>
    </w:p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Landing-page intake (public)</w:t>
      </w:r>
    </w:p>
    <w:tbl>
      <w:tblPr>
        <w:tblW w:type="pct" w:w="100%"/>
        <w:tblBorders>
          <w:top w:val="single" w:color="D9CFC6" w:sz="4"/>
          <w:left w:val="single" w:color="D9CFC6" w:sz="4"/>
          <w:bottom w:val="single" w:color="D9CFC6" w:sz="4"/>
          <w:right w:val="single" w:color="D9CFC6" w:sz="4"/>
          <w:insideH w:val="single" w:color="D9CFC6" w:sz="4"/>
          <w:insideV w:val="single" w:color="D9CFC6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516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2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/api/v1/ingest/landing-page</w:t>
            </w:r>
          </w:p>
        </w:tc>
        <w:tc>
          <w:tcPr>
            <w:tcW w:type="dxa" w:w="51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Receive a form submission (dealer application or retail enquiry).</w:t>
            </w:r>
          </w:p>
        </w:tc>
      </w:tr>
      <w:tr>
        <w:tc>
          <w:tcPr>
            <w:tcW w:type="dxa" w:w="42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/api/v1/ingest/test</w:t>
            </w:r>
          </w:p>
        </w:tc>
        <w:tc>
          <w:tcPr>
            <w:tcW w:type="dxa" w:w="51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Confirm the connection is live.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Dealer onboarding (admin)</w:t>
      </w:r>
    </w:p>
    <w:tbl>
      <w:tblPr>
        <w:tblW w:type="pct" w:w="100%"/>
        <w:tblBorders>
          <w:top w:val="single" w:color="D9CFC6" w:sz="4"/>
          <w:left w:val="single" w:color="D9CFC6" w:sz="4"/>
          <w:bottom w:val="single" w:color="D9CFC6" w:sz="4"/>
          <w:right w:val="single" w:color="D9CFC6" w:sz="4"/>
          <w:insideH w:val="single" w:color="D9CFC6" w:sz="4"/>
          <w:insideV w:val="single" w:color="D9CFC6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66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/api/v1/onboarding/board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Stage counts for the pipeline view.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/api/v1/onboarding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List / filter applications.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/api/v1/onboarding/:id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One application with its documents &amp; history.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/api/v1/onboarding/:id/advance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Move to the next stage (if docs verified).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PATCH /api/v1/onboarding/:id/documents/:docId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Verify or reject a document.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/api/v1/onboarding/:id/status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Put on hold or reject.</w:t>
            </w:r>
          </w:p>
        </w:tc>
      </w:tr>
    </w:tbl>
    <w:p>
      <w:pPr>
        <w:pStyle w:val="Heading3"/>
        <w:spacing w:after="60" w:before="160"/>
      </w:pPr>
      <w:r>
        <w:rPr>
          <w:b/>
          <w:bCs/>
          <w:color w:val="3D4D55"/>
          <w:sz w:val="21"/>
          <w:szCs w:val="21"/>
        </w:rPr>
        <w:t xml:space="preserve">Dealer management (admin)</w:t>
      </w:r>
    </w:p>
    <w:tbl>
      <w:tblPr>
        <w:tblW w:type="pct" w:w="100%"/>
        <w:tblBorders>
          <w:top w:val="single" w:color="D9CFC6" w:sz="4"/>
          <w:left w:val="single" w:color="D9CFC6" w:sz="4"/>
          <w:bottom w:val="single" w:color="D9CFC6" w:sz="4"/>
          <w:right w:val="single" w:color="D9CFC6" w:sz="4"/>
          <w:insideH w:val="single" w:color="D9CFC6" w:sz="4"/>
          <w:insideV w:val="single" w:color="D9CFC6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Method &amp; path</w:t>
            </w:r>
          </w:p>
        </w:tc>
        <w:tc>
          <w:tcPr>
            <w:tcW w:type="dxa" w:w="466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Purpose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/api/v1/dealers/stats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Network dashboard figures.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/api/v1/dealers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List / filter dealers (state, tier, status, segment).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/api/v1/dealers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Create a dealer.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/api/v1/dealers/from-application/:id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Promote an approved application to a live dealer.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/api/v1/dealers/:id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Full detail + this month's attainment.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PATCH /api/v1/dealers/:id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Update details / change status.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PUT /api/v1/dealers/:id/territories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Set the dealer's territory coverage.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PUT /api/v1/dealers/:id/targets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Set a target for a period/segment.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PUT /api/v1/dealers/:id/performance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Record actuals for a period.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/api/v1/dealer-routing/route/:leadId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Route a lead to the nearest dealer.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/api/v1/dealer-routing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List lead assignments.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/api/v1/finance-cases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Open a buyer finance case.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GET /api/v1/finance-cases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List finance cases + pipeline counts.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/api/v1/service-tickets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Raise a service ticket.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Consolas" w:cs="Consolas" w:eastAsia="Consolas" w:hAnsi="Consolas"/>
                <w:color w:val="10222C"/>
                <w:sz w:val="17"/>
                <w:szCs w:val="17"/>
              </w:rPr>
              <w:t xml:space="preserve">POST /api/v1/spare-parts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Raise a spare-part request.</w:t>
            </w:r>
          </w:p>
        </w:tc>
      </w:tr>
    </w:tbl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10222C"/>
          <w:sz w:val="30"/>
          <w:szCs w:val="30"/>
        </w:rPr>
        <w:t xml:space="preserve">9. Honest scope — what's built vs. next</w:t>
      </w:r>
    </w:p>
    <w:tbl>
      <w:tblPr>
        <w:tblW w:type="pct" w:w="100%"/>
        <w:tblBorders>
          <w:top w:val="single" w:color="D9CFC6" w:sz="4"/>
          <w:left w:val="single" w:color="D9CFC6" w:sz="4"/>
          <w:bottom w:val="single" w:color="D9CFC6" w:sz="4"/>
          <w:right w:val="single" w:color="D9CFC6" w:sz="4"/>
          <w:insideH w:val="single" w:color="D9CFC6" w:sz="4"/>
          <w:insideV w:val="single" w:color="D9CFC6" w:sz="4"/>
        </w:tblBorders>
      </w:tblPr>
      <w:tblGrid>
        <w:gridCol w:w="4700"/>
        <w:gridCol w:w="4660"/>
      </w:tblGrid>
      <w:tr>
        <w:trPr>
          <w:tblHeader/>
        </w:trPr>
        <w:tc>
          <w:tcPr>
            <w:tcW w:type="dxa" w:w="470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Module</w:t>
            </w:r>
          </w:p>
        </w:tc>
        <w:tc>
          <w:tcPr>
            <w:tcW w:type="dxa" w:w="4660"/>
            <w:shd w:fill="EFE7DF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r>
              <w:rPr>
                <w:b/>
                <w:bCs/>
                <w:color w:val="10222C"/>
                <w:sz w:val="19"/>
                <w:szCs w:val="19"/>
              </w:rPr>
              <w:t xml:space="preserve">Status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Zira theme reskin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Built — drop-in ready.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Landing-page integration (both intents)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Built — ready for the intern's form.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Dealer Onboarding (8 stages + UI)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Built.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Dealer Management (5 operational parts + UI)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Built this round.</w:t>
            </w:r>
          </w:p>
        </w:tc>
      </w:tr>
      <w:tr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Leads module</w:t>
            </w:r>
          </w:p>
        </w:tc>
        <w:tc>
          <w:tcPr>
            <w:tcW w:type="dxa" w:w="466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Exists in the base CRM; reused.</w:t>
            </w:r>
          </w:p>
        </w:tc>
      </w:tr>
      <w:tr>
        <w:tc>
          <w:tcPr>
            <w:tcW w:type="dxa" w:w="470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Purchase Management (orders/invoices)</w:t>
            </w:r>
          </w:p>
        </w:tc>
        <w:tc>
          <w:tcPr>
            <w:tcW w:type="dxa" w:w="4660"/>
            <w:shd w:fill="FBF8F4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color w:val="3D4D55"/>
                <w:sz w:val="18"/>
                <w:szCs w:val="18"/>
              </w:rPr>
              <w:t xml:space="preserve">Exists in base CRM. A credit-ledger / dealer-order extension is mapped but not built.</w:t>
            </w:r>
          </w:p>
        </w:tc>
      </w:tr>
    </w:tbl>
    <w:p>
      <w:pPr>
        <w:spacing w:after="60"/>
      </w:pPr>
    </w:p>
    <w:p>
      <w:pPr>
        <w:spacing w:after="120" w:line="276"/>
      </w:pPr>
      <w:r>
        <w:rPr>
          <w:b/>
          <w:bCs/>
          <w:color w:val="3D4D55"/>
          <w:sz w:val="21"/>
          <w:szCs w:val="21"/>
        </w:rPr>
        <w:t xml:space="preserve">Recommended next step: </w:t>
      </w:r>
      <w:r>
        <w:rPr>
          <w:color w:val="3D4D55"/>
          <w:sz w:val="21"/>
          <w:szCs w:val="21"/>
        </w:rPr>
        <w:t xml:space="preserve">connect Purchase Management so dealer performance actuals fill automatically from real orders, and wire the KYC/GST/e-sign services so onboarding document checks run without manual verification. Both connection points are already prepared in the delivered code.</w:t>
      </w:r>
    </w:p>
    <w:p>
      <w:pPr>
        <w:spacing w:after="60"/>
      </w:pPr>
    </w:p>
    <w:p>
      <w:pPr>
        <w:pBdr>
          <w:top w:val="single" w:color="D9CFC6" w:sz="4"/>
        </w:pBdr>
        <w:spacing w:after="60" w:before="200"/>
      </w:pPr>
    </w:p>
    <w:p>
      <w:r>
        <w:rPr>
          <w:i/>
          <w:iCs/>
          <w:color w:val="B58863"/>
          <w:sz w:val="18"/>
          <w:szCs w:val="18"/>
        </w:rPr>
        <w:t xml:space="preserve">End of document · Luxus Green EV CRM — Software Delivered</w:t>
      </w:r>
    </w:p>
    <w:sectPr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color w:val="9A6A3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300"/>
      </w:pPr>
      <w:rPr>
        <w:b/>
        <w:bCs/>
        <w:color w:val="9A6A3D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D4D55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 CRM — Software Delivered</dc:title>
  <dc:creator>Luxus Green EV CRM</dc:creator>
  <cp:lastModifiedBy>Un-named</cp:lastModifiedBy>
  <cp:revision>1</cp:revision>
  <dcterms:created xsi:type="dcterms:W3CDTF">2026-08-04T09:14:06.874Z</dcterms:created>
  <dcterms:modified xsi:type="dcterms:W3CDTF">2026-08-04T09:14:06.874Z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