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line="600" w:lineRule="atLeast"/>
        <w:jc w:val="center"/>
      </w:pPr>
      <w:r>
        <w:rPr>
          <w:rFonts w:ascii="Times New Roman" w:cs="Times New Roman" w:eastAsia="Times New Roman" w:hAnsi="Times New Roman"/>
          <w:b/>
          <w:bCs/>
          <w:color w:val="2c7aa1"/>
          <w:sz w:val="60"/>
          <w:szCs w:val="60"/>
        </w:rPr>
        <w:t xml:space="preserve">AVERON v4.0.0</w:t>
      </w:r>
    </w:p>
    <w:p>
      <w:pPr>
        <w:spacing w:before="200"/>
      </w:pPr>
    </w:p>
    <w:p>
      <w:pPr>
        <w:jc w:val="center"/>
      </w:pPr>
      <w:r>
        <w:rPr>
          <w:rFonts w:ascii="Times New Roman" w:cs="Times New Roman" w:eastAsia="Times New Roman" w:hAnsi="Times New Roman"/>
          <w:color w:val="1f2223"/>
          <w:sz w:val="40"/>
          <w:szCs w:val="40"/>
        </w:rPr>
        <w:t xml:space="preserve">Asset Tokenization Platform</w:t>
      </w:r>
    </w:p>
    <w:p>
      <w:pPr>
        <w:spacing w:before="100"/>
        <w:jc w:val="center"/>
      </w:pPr>
      <w:r>
        <w:rPr>
          <w:rFonts w:ascii="Times New Roman" w:cs="Times New Roman" w:eastAsia="Times New Roman" w:hAnsi="Times New Roman"/>
          <w:color w:val="6b7280"/>
          <w:sz w:val="32"/>
          <w:szCs w:val="32"/>
        </w:rPr>
        <w:t xml:space="preserve">Technical Deep Dive</w:t>
      </w:r>
    </w:p>
    <w:p>
      <w:pPr>
        <w:spacing w:before="2000"/>
      </w:pPr>
    </w:p>
    <w:p>
      <w:pPr>
        <w:jc w:val="center"/>
      </w:pPr>
      <w:r>
        <w:rPr>
          <w:rFonts w:ascii="Times New Roman" w:cs="Times New Roman" w:eastAsia="Times New Roman" w:hAnsi="Times New Roman"/>
          <w:color w:val="6b7280"/>
          <w:sz w:val="22"/>
          <w:szCs w:val="22"/>
        </w:rPr>
        <w:t xml:space="preserve">A Comprehensive 15-Chapter Technical Reference</w:t>
      </w:r>
    </w:p>
    <w:p>
      <w:pPr>
        <w:spacing w:before="600"/>
        <w:jc w:val="center"/>
      </w:pPr>
      <w:r>
        <w:rPr>
          <w:rFonts w:ascii="Times New Roman" w:cs="Times New Roman" w:eastAsia="Times New Roman" w:hAnsi="Times New Roman"/>
          <w:color w:val="2c2f30"/>
          <w:sz w:val="22"/>
          <w:szCs w:val="22"/>
        </w:rPr>
        <w:t xml:space="preserve">Averon Technologies Private Limited</w:t>
      </w:r>
    </w:p>
    <w:p>
      <w:pPr>
        <w:sectPr>
          <w:pgSz w:w="11906" w:h="16838" w:orient="portrait"/>
          <w:pgMar w:top="0" w:right="0" w:bottom="0" w:left="0" w:header="708" w:footer="708" w:gutter="0"/>
          <w:pgNumType/>
          <w:docGrid w:linePitch="360"/>
        </w:sectPr>
      </w:pPr>
    </w:p>
    <w:p>
      <w:pPr>
        <w:spacing w:after="400" w:before="600"/>
        <w:jc w:val="center"/>
      </w:pPr>
      <w:r>
        <w:rPr>
          <w:rFonts w:ascii="Times New Roman" w:cs="Times New Roman" w:eastAsia="Times New Roman" w:hAnsi="Times New Roman"/>
          <w:b/>
          <w:bCs/>
          <w:color w:val="2c7aa1"/>
          <w:sz w:val="36"/>
          <w:szCs w:val="36"/>
        </w:rPr>
        <w:t xml:space="preserve">Table of Contents</w:t>
      </w:r>
    </w:p>
    <w:sdt>
      <w:sdtPr>
        <w:alias w:val="TOC"/>
      </w:sdtPr>
      <w:sdtContent>
        <w:p>
          <w:r>
            <w:fldChar w:fldCharType="begin" w:dirty="true"/>
            <w:instrText xml:space="preserve">TOC \h \o "1-3" \t "undefined,1"</w:instrText>
            <w:fldChar w:fldCharType="separate"/>
          </w:r>
        </w:p>
        <w:p>
          <w:r>
            <w:fldChar w:fldCharType="end"/>
          </w:r>
        </w:p>
      </w:sdtContent>
    </w:sdt>
    <w:p>
      <w:pPr>
        <w:sectPr>
          <w:footerReference w:type="default" r:id="rId7"/>
          <w:pgSz w:w="11906" w:h="16838" w:orient="portrait"/>
          <w:pgMar w:top="1440" w:right="1417" w:bottom="1440" w:left="1701" w:header="708" w:footer="708" w:gutter="0"/>
          <w:pgNumType w:start="1" w:fmt="UPPER_ROMAN"/>
          <w:docGrid w:linePitch="360"/>
        </w:sectPr>
      </w:pPr>
    </w:p>
    <w:p>
      <w:pPr>
        <w:pStyle w:val="Heading1"/>
        <w:spacing w:after="240" w:before="480"/>
      </w:pPr>
      <w:r>
        <w:rPr>
          <w:rFonts w:ascii="Times New Roman" w:cs="Times New Roman" w:eastAsia="Times New Roman" w:hAnsi="Times New Roman"/>
          <w:b/>
          <w:bCs/>
          <w:color w:val="2c7aa1"/>
          <w:sz w:val="36"/>
          <w:szCs w:val="36"/>
        </w:rPr>
        <w:t xml:space="preserve">Chapter 1: Introduction to Asset Tokenization</w:t>
      </w:r>
    </w:p>
    <w:p>
      <w:pPr>
        <w:pStyle w:val="Heading2"/>
        <w:spacing w:after="180" w:before="360"/>
      </w:pPr>
      <w:r>
        <w:rPr>
          <w:rFonts w:ascii="Times New Roman" w:cs="Times New Roman" w:eastAsia="Times New Roman" w:hAnsi="Times New Roman"/>
          <w:b/>
          <w:bCs/>
          <w:color w:val="1f2223"/>
          <w:sz w:val="30"/>
          <w:szCs w:val="30"/>
        </w:rPr>
        <w:t xml:space="preserve">1.1 The Evolution of Digital Assets</w:t>
      </w:r>
    </w:p>
    <w:p>
      <w:pPr>
        <w:spacing w:after="120" w:line="312"/>
      </w:pPr>
      <w:r>
        <w:rPr>
          <w:rFonts w:ascii="Times New Roman" w:cs="Times New Roman" w:eastAsia="Times New Roman" w:hAnsi="Times New Roman"/>
          <w:color w:val="2c2f30"/>
          <w:sz w:val="24"/>
          <w:szCs w:val="24"/>
        </w:rPr>
        <w:t xml:space="preserve">The concept of representing ownership through digital means has evolved dramatically over the past two decades, from the introduction of Bitcoin in 2009 as a purely digital store of value to today's sophisticated platforms that bridge the gap between physical real-world assets and digital blockchain-based tokens. Asset tokenization refers to the process of creating digital tokens on a blockchain that represent ownership rights, economic benefits, or other entitlements linked to tangible or intangible assets. These assets can range from real estate properties and agricultural land to accounts receivable, commodities, intellectual property, and equity stakes in private companies. The fundamental value proposition of tokenization lies in its ability to divide traditionally illiquid, large-denomination assets into smaller, tradable units, thereby democratizing access to investment opportunities that were previously available only to wealthy individuals or institutional investors.</w:t>
      </w:r>
    </w:p>
    <w:p>
      <w:pPr>
        <w:pStyle w:val="Heading2"/>
        <w:spacing w:after="180" w:before="360"/>
      </w:pPr>
      <w:r>
        <w:rPr>
          <w:rFonts w:ascii="Times New Roman" w:cs="Times New Roman" w:eastAsia="Times New Roman" w:hAnsi="Times New Roman"/>
          <w:b/>
          <w:bCs/>
          <w:color w:val="1f2223"/>
          <w:sz w:val="30"/>
          <w:szCs w:val="30"/>
        </w:rPr>
        <w:t xml:space="preserve">1.2 Motivation and Problem Statement</w:t>
      </w:r>
    </w:p>
    <w:p>
      <w:pPr>
        <w:spacing w:after="120" w:line="312"/>
      </w:pPr>
      <w:r>
        <w:rPr>
          <w:rFonts w:ascii="Times New Roman" w:cs="Times New Roman" w:eastAsia="Times New Roman" w:hAnsi="Times New Roman"/>
          <w:color w:val="2c2f30"/>
          <w:sz w:val="24"/>
          <w:szCs w:val="24"/>
        </w:rPr>
        <w:t xml:space="preserve">Despite the promise of asset tokenization, existing platforms face several critical technical and operational challenges that limit their adoption. Most platforms operate on public blockchain networks such as Ethereum, which introduces significant transaction costs (gas fees) that make micro-investments economically unviable. A single Ethereum transaction can cost anywhere from $1 to $50 depending on network congestion, which is prohibitive for the small-denomination investments that are the core value proposition of fractional asset ownership. Additionally, the reliance on public blockchains exposes transaction details to all network participants, creating privacy concerns for asset owners. Averon v4.0.0 was designed to address all of these challenges through a unified, vertically-integrated platform architecture that eliminates gas fees while providing data privacy and regulatory compliance support.</w:t>
      </w:r>
    </w:p>
    <w:p>
      <w:pPr>
        <w:pStyle w:val="Heading2"/>
        <w:spacing w:after="180" w:before="360"/>
      </w:pPr>
      <w:r>
        <w:rPr>
          <w:rFonts w:ascii="Times New Roman" w:cs="Times New Roman" w:eastAsia="Times New Roman" w:hAnsi="Times New Roman"/>
          <w:b/>
          <w:bCs/>
          <w:color w:val="1f2223"/>
          <w:sz w:val="30"/>
          <w:szCs w:val="30"/>
        </w:rPr>
        <w:t xml:space="preserve">1.3 The Averon Solution</w:t>
      </w:r>
    </w:p>
    <w:p>
      <w:pPr>
        <w:spacing w:after="120" w:line="312"/>
      </w:pPr>
      <w:r>
        <w:rPr>
          <w:rFonts w:ascii="Times New Roman" w:cs="Times New Roman" w:eastAsia="Times New Roman" w:hAnsi="Times New Roman"/>
          <w:color w:val="2c2f30"/>
          <w:sz w:val="24"/>
          <w:szCs w:val="24"/>
        </w:rPr>
        <w:t xml:space="preserve">Averon v4.0.0 is a comprehensive asset tokenization platform integrating five core technical components: a custom proof-of-work blockchain, an AI-powered document verification pipeline, an on-chain escrow mechanism, a centralized trading engine, and an algorithmic price discovery model. The platform enables asset owners to create digital tokens representing fractional ownership of real-world assets, investors to purchase these tokens through a regulated funding process with built-in escrow protection, and all participants to trade tokens on a secondary market with on-chain settlement. This book provides a comprehensive technical deep dive into every component of the platform.</w:t>
      </w:r>
    </w:p>
    <w:p>
      <w:pPr>
        <w:pStyle w:val="Heading1"/>
        <w:spacing w:after="240" w:before="480"/>
      </w:pPr>
      <w:r>
        <w:rPr>
          <w:rFonts w:ascii="Times New Roman" w:cs="Times New Roman" w:eastAsia="Times New Roman" w:hAnsi="Times New Roman"/>
          <w:b/>
          <w:bCs/>
          <w:color w:val="2c7aa1"/>
          <w:sz w:val="36"/>
          <w:szCs w:val="36"/>
        </w:rPr>
        <w:t xml:space="preserve">Chapter 2: Platform Architecture Overview</w:t>
      </w:r>
    </w:p>
    <w:p>
      <w:pPr>
        <w:pStyle w:val="Heading2"/>
        <w:spacing w:after="180" w:before="360"/>
      </w:pPr>
      <w:r>
        <w:rPr>
          <w:rFonts w:ascii="Times New Roman" w:cs="Times New Roman" w:eastAsia="Times New Roman" w:hAnsi="Times New Roman"/>
          <w:b/>
          <w:bCs/>
          <w:color w:val="1f2223"/>
          <w:sz w:val="30"/>
          <w:szCs w:val="30"/>
        </w:rPr>
        <w:t xml:space="preserve">2.1 Architectural Principles</w:t>
      </w:r>
    </w:p>
    <w:p>
      <w:pPr>
        <w:spacing w:after="120" w:line="312"/>
      </w:pPr>
      <w:r>
        <w:rPr>
          <w:rFonts w:ascii="Times New Roman" w:cs="Times New Roman" w:eastAsia="Times New Roman" w:hAnsi="Times New Roman"/>
          <w:color w:val="2c2f30"/>
          <w:sz w:val="24"/>
          <w:szCs w:val="24"/>
        </w:rPr>
        <w:t xml:space="preserve">The architecture of Averon v4.0.0 is guided by several key design principles. The first principle is vertical integration: rather than composing the platform from independent microservices, Averon implements all core functionality within a single monolithic application. This eliminates inter-service communication overhead, simplifies deployment, and ensures data consistency. The second principle is blockchain-native design: the custom blockchain is a foundational component deeply integrated with business logic, with specialized transaction types corresponding to platform operations. The third principle is defense-in-depth security with multiple overlapping security mechanisms at different layers.</w:t>
      </w:r>
    </w:p>
    <w:p>
      <w:pPr>
        <w:pStyle w:val="Heading2"/>
        <w:spacing w:after="180" w:before="360"/>
      </w:pPr>
      <w:r>
        <w:rPr>
          <w:rFonts w:ascii="Times New Roman" w:cs="Times New Roman" w:eastAsia="Times New Roman" w:hAnsi="Times New Roman"/>
          <w:b/>
          <w:bCs/>
          <w:color w:val="1f2223"/>
          <w:sz w:val="30"/>
          <w:szCs w:val="30"/>
        </w:rPr>
        <w:t xml:space="preserve">2.2 Five-Layer Architecture</w:t>
      </w:r>
    </w:p>
    <w:p>
      <w:pPr>
        <w:spacing w:after="120" w:line="312"/>
      </w:pPr>
      <w:r>
        <w:rPr>
          <w:rFonts w:ascii="Times New Roman" w:cs="Times New Roman" w:eastAsia="Times New Roman" w:hAnsi="Times New Roman"/>
          <w:color w:val="2c2f30"/>
          <w:sz w:val="24"/>
          <w:szCs w:val="24"/>
        </w:rPr>
        <w:t xml:space="preserve">The system is organized into five principal layers. The Security Layer (Layer 5) sits at the top of the request processing pipeline, implementing JWT authentication, rate limiting, input sanitization, and audit logging. The Application Layer (Layer 4) implements business logic for asset management, trading, payments, and user administration. The AI Processing Layer (Layer 3) implements the five-stage document analysis pipeline. The Data Layer (Layer 2) provides persistent storage through SQLite with 19 tables and the blockchain's chain.json file. The Blockchain Layer (Layer 1) provides immutable ledger infrastructure including the PoW mining engine and chain storage.</w:t>
      </w:r>
    </w:p>
    <w:p>
      <w:pPr>
        <w:pStyle w:val="Heading2"/>
        <w:spacing w:after="180" w:before="360"/>
      </w:pPr>
      <w:r>
        <w:rPr>
          <w:rFonts w:ascii="Times New Roman" w:cs="Times New Roman" w:eastAsia="Times New Roman" w:hAnsi="Times New Roman"/>
          <w:b/>
          <w:bCs/>
          <w:color w:val="1f2223"/>
          <w:sz w:val="30"/>
          <w:szCs w:val="30"/>
        </w:rPr>
        <w:t xml:space="preserve">2.3 Technology Stack</w:t>
      </w:r>
    </w:p>
    <w:p>
      <w:pPr>
        <w:spacing w:after="120" w:line="312"/>
      </w:pPr>
      <w:r>
        <w:rPr>
          <w:rFonts w:ascii="Times New Roman" w:cs="Times New Roman" w:eastAsia="Times New Roman" w:hAnsi="Times New Roman"/>
          <w:color w:val="2c2f30"/>
          <w:sz w:val="24"/>
          <w:szCs w:val="24"/>
        </w:rPr>
        <w:t xml:space="preserve">Averon v4.0.0 is implemented as a monolithic Node.js application leveraging the V8 JavaScript engine's event-driven, non-blocking I/O model. The web framework is Express.js. The database is SQLite, selected for zero-configuration deployment, full ACID compliance, and suitability for single-server applications. The blockchain engine is a custom Node.js module running PoW mining asynchronously within the event loop. Cryptographic operations utilize the Node.js crypto module for ECDSA signatures and crypto-js for SHA-256 hashing.</w:t>
      </w:r>
    </w:p>
    <w:p>
      <w:pPr>
        <w:pStyle w:val="Heading1"/>
        <w:spacing w:after="240" w:before="480"/>
      </w:pPr>
      <w:r>
        <w:rPr>
          <w:rFonts w:ascii="Times New Roman" w:cs="Times New Roman" w:eastAsia="Times New Roman" w:hAnsi="Times New Roman"/>
          <w:b/>
          <w:bCs/>
          <w:color w:val="2c7aa1"/>
          <w:sz w:val="36"/>
          <w:szCs w:val="36"/>
        </w:rPr>
        <w:t xml:space="preserve">Chapter 3: Custom Blockchain Engine</w:t>
      </w:r>
    </w:p>
    <w:p>
      <w:pPr>
        <w:pStyle w:val="Heading2"/>
        <w:spacing w:after="180" w:before="360"/>
      </w:pPr>
      <w:r>
        <w:rPr>
          <w:rFonts w:ascii="Times New Roman" w:cs="Times New Roman" w:eastAsia="Times New Roman" w:hAnsi="Times New Roman"/>
          <w:b/>
          <w:bCs/>
          <w:color w:val="1f2223"/>
          <w:sz w:val="30"/>
          <w:szCs w:val="30"/>
        </w:rPr>
        <w:t xml:space="preserve">3.1 Design Rationale</w:t>
      </w:r>
    </w:p>
    <w:p>
      <w:pPr>
        <w:spacing w:after="120" w:line="312"/>
      </w:pPr>
      <w:r>
        <w:rPr>
          <w:rFonts w:ascii="Times New Roman" w:cs="Times New Roman" w:eastAsia="Times New Roman" w:hAnsi="Times New Roman"/>
          <w:color w:val="2c2f30"/>
          <w:sz w:val="24"/>
          <w:szCs w:val="24"/>
        </w:rPr>
        <w:t xml:space="preserve">The decision to implement a custom blockchain rather than deploying on an existing public network was driven by three requirements: specialized transaction types with no equivalent in standard protocols, zero transaction fees for micro-investments, and data privacy for investment details. The custom blockchain addresses all three while maintaining the security properties that make blockchain technology valuable.</w:t>
      </w:r>
    </w:p>
    <w:p>
      <w:pPr>
        <w:pStyle w:val="Heading2"/>
        <w:spacing w:after="180" w:before="360"/>
      </w:pPr>
      <w:r>
        <w:rPr>
          <w:rFonts w:ascii="Times New Roman" w:cs="Times New Roman" w:eastAsia="Times New Roman" w:hAnsi="Times New Roman"/>
          <w:b/>
          <w:bCs/>
          <w:color w:val="1f2223"/>
          <w:sz w:val="30"/>
          <w:szCs w:val="30"/>
        </w:rPr>
        <w:t xml:space="preserve">3.2 Cryptographic Foundations</w:t>
      </w:r>
    </w:p>
    <w:p>
      <w:pPr>
        <w:spacing w:after="120" w:line="312"/>
      </w:pPr>
      <w:r>
        <w:rPr>
          <w:rFonts w:ascii="Times New Roman" w:cs="Times New Roman" w:eastAsia="Times New Roman" w:hAnsi="Times New Roman"/>
          <w:color w:val="2c2f30"/>
          <w:sz w:val="24"/>
          <w:szCs w:val="24"/>
        </w:rPr>
        <w:t xml:space="preserve">The blockchain employs ECDSA secp256k1 for digital signatures (128-bit security, same as Bitcoin) and SHA-256 for hashing. Each transaction is signed by the sender's private key, ensuring non-repudiation and authenticity. SHA-256 produces 256-bit digests for transaction hashes, block hashes, and Merkle roots.</w:t>
      </w:r>
    </w:p>
    <w:p>
      <w:pPr>
        <w:pStyle w:val="Heading2"/>
        <w:spacing w:after="180" w:before="360"/>
      </w:pPr>
      <w:r>
        <w:rPr>
          <w:rFonts w:ascii="Times New Roman" w:cs="Times New Roman" w:eastAsia="Times New Roman" w:hAnsi="Times New Roman"/>
          <w:b/>
          <w:bCs/>
          <w:color w:val="1f2223"/>
          <w:sz w:val="30"/>
          <w:szCs w:val="30"/>
        </w:rPr>
        <w:t xml:space="preserve">3.3 Transaction Types</w:t>
      </w:r>
    </w:p>
    <w:p>
      <w:pPr>
        <w:spacing w:after="120" w:line="312"/>
      </w:pPr>
      <w:r>
        <w:rPr>
          <w:rFonts w:ascii="Times New Roman" w:cs="Times New Roman" w:eastAsia="Times New Roman" w:hAnsi="Times New Roman"/>
          <w:color w:val="2c2f30"/>
          <w:sz w:val="24"/>
          <w:szCs w:val="24"/>
        </w:rPr>
        <w:t xml:space="preserve">The platform defines eight transaction types: MINT (coin creation from fiat), TRANSFER (peer-to-peer transfer), INVEST (user to escrow for asset tokens), DIVEST (early exit), PAYOUT (escrow to owner upon full funding), REFUND (escrow to investors on expiry), FEE (platform fee collection), and ASSET_CREATE (on-chain tokenization record). These encode business logic directly into the protocol.</w:t>
      </w:r>
    </w:p>
    <w:p>
      <w:pPr>
        <w:pStyle w:val="Heading2"/>
        <w:spacing w:after="180" w:before="360"/>
      </w:pPr>
      <w:r>
        <w:rPr>
          <w:rFonts w:ascii="Times New Roman" w:cs="Times New Roman" w:eastAsia="Times New Roman" w:hAnsi="Times New Roman"/>
          <w:b/>
          <w:bCs/>
          <w:color w:val="1f2223"/>
          <w:sz w:val="30"/>
          <w:szCs w:val="30"/>
        </w:rPr>
        <w:t xml:space="preserve">3.4 Proof-of-Work Mining</w:t>
      </w:r>
    </w:p>
    <w:p>
      <w:pPr>
        <w:spacing w:after="120" w:line="312"/>
      </w:pPr>
      <w:r>
        <w:rPr>
          <w:rFonts w:ascii="Times New Roman" w:cs="Times New Roman" w:eastAsia="Times New Roman" w:hAnsi="Times New Roman"/>
          <w:color w:val="2c2f30"/>
          <w:sz w:val="24"/>
          <w:szCs w:val="24"/>
        </w:rPr>
        <w:t xml:space="preserve">Mining involves finding a nonce such that the SHA-256 hash of the block header is below the difficulty target. Difficulty is dynamically adjusted to maintain consistent block intervals. The chain is stored in chain.json in structured JSON format supporting human-readable inspection and straightforward backup.</w:t>
      </w:r>
    </w:p>
    <w:p>
      <w:pPr>
        <w:pStyle w:val="Heading1"/>
        <w:spacing w:after="240" w:before="480"/>
      </w:pPr>
      <w:r>
        <w:rPr>
          <w:rFonts w:ascii="Times New Roman" w:cs="Times New Roman" w:eastAsia="Times New Roman" w:hAnsi="Times New Roman"/>
          <w:b/>
          <w:bCs/>
          <w:color w:val="2c7aa1"/>
          <w:sz w:val="36"/>
          <w:szCs w:val="36"/>
        </w:rPr>
        <w:t xml:space="preserve">Chapter 4: Database Architecture</w:t>
      </w:r>
    </w:p>
    <w:p>
      <w:pPr>
        <w:pStyle w:val="Heading2"/>
        <w:spacing w:after="180" w:before="360"/>
      </w:pPr>
      <w:r>
        <w:rPr>
          <w:rFonts w:ascii="Times New Roman" w:cs="Times New Roman" w:eastAsia="Times New Roman" w:hAnsi="Times New Roman"/>
          <w:b/>
          <w:bCs/>
          <w:color w:val="1f2223"/>
          <w:sz w:val="30"/>
          <w:szCs w:val="30"/>
        </w:rPr>
        <w:t xml:space="preserve">4.1 SQLite as the Data Store</w:t>
      </w:r>
    </w:p>
    <w:p>
      <w:pPr>
        <w:spacing w:after="120" w:line="312"/>
      </w:pPr>
      <w:r>
        <w:rPr>
          <w:rFonts w:ascii="Times New Roman" w:cs="Times New Roman" w:eastAsia="Times New Roman" w:hAnsi="Times New Roman"/>
          <w:color w:val="2c2f30"/>
          <w:sz w:val="24"/>
          <w:szCs w:val="24"/>
        </w:rPr>
        <w:t xml:space="preserve">SQLite was selected for its serverless architecture, zero configuration, full ACID compliance, and excellent read performance. The database persists all relational data while chain.json maintains immutable blockchain state separately, creating clean separation between mutable and immutable state.</w:t>
      </w:r>
    </w:p>
    <w:p>
      <w:pPr>
        <w:pStyle w:val="Heading2"/>
        <w:spacing w:after="180" w:before="360"/>
      </w:pPr>
      <w:r>
        <w:rPr>
          <w:rFonts w:ascii="Times New Roman" w:cs="Times New Roman" w:eastAsia="Times New Roman" w:hAnsi="Times New Roman"/>
          <w:b/>
          <w:bCs/>
          <w:color w:val="1f2223"/>
          <w:sz w:val="30"/>
          <w:szCs w:val="30"/>
        </w:rPr>
        <w:t xml:space="preserve">4.2 Schema Design</w:t>
      </w:r>
    </w:p>
    <w:p>
      <w:pPr>
        <w:spacing w:after="120" w:line="312"/>
      </w:pPr>
      <w:r>
        <w:rPr>
          <w:rFonts w:ascii="Times New Roman" w:cs="Times New Roman" w:eastAsia="Times New Roman" w:hAnsi="Times New Roman"/>
          <w:color w:val="2c2f30"/>
          <w:sz w:val="24"/>
          <w:szCs w:val="24"/>
        </w:rPr>
        <w:t xml:space="preserve">The schema comprises 19 tables in six groups: user management (users, wallets, kyc_verifications, sessions), asset management (assets, asset_documents, asset_tokens), escrow (escrow_accounts, escrow_transactions), trading (coin_orders, coin_trades), economic (economy, price_history, fee_ledger), and payment (payment_gateways, payment_orders, payment_transactions), plus notifications and audit_logs.</w:t>
      </w:r>
    </w:p>
    <w:p>
      <w:pPr>
        <w:pStyle w:val="Heading1"/>
        <w:spacing w:after="240" w:before="480"/>
      </w:pPr>
      <w:r>
        <w:rPr>
          <w:rFonts w:ascii="Times New Roman" w:cs="Times New Roman" w:eastAsia="Times New Roman" w:hAnsi="Times New Roman"/>
          <w:b/>
          <w:bCs/>
          <w:color w:val="2c7aa1"/>
          <w:sz w:val="36"/>
          <w:szCs w:val="36"/>
        </w:rPr>
        <w:t xml:space="preserve">Chapter 5: AI-Powered Document Verification</w:t>
      </w:r>
    </w:p>
    <w:p>
      <w:pPr>
        <w:pStyle w:val="Heading2"/>
        <w:spacing w:after="180" w:before="360"/>
      </w:pPr>
      <w:r>
        <w:rPr>
          <w:rFonts w:ascii="Times New Roman" w:cs="Times New Roman" w:eastAsia="Times New Roman" w:hAnsi="Times New Roman"/>
          <w:b/>
          <w:bCs/>
          <w:color w:val="1f2223"/>
          <w:sz w:val="30"/>
          <w:szCs w:val="30"/>
        </w:rPr>
        <w:t xml:space="preserve">5.1 Five-Stage Pipeline Overview</w:t>
      </w:r>
    </w:p>
    <w:p>
      <w:pPr>
        <w:spacing w:after="120" w:line="312"/>
      </w:pPr>
      <w:r>
        <w:rPr>
          <w:rFonts w:ascii="Times New Roman" w:cs="Times New Roman" w:eastAsia="Times New Roman" w:hAnsi="Times New Roman"/>
          <w:color w:val="2c2f30"/>
          <w:sz w:val="24"/>
          <w:szCs w:val="24"/>
        </w:rPr>
        <w:t xml:space="preserve">The pipeline processes uploaded documents through five stages: image preprocessing, OCR, text classification, named entity recognition, and verification scoring. It supports JPG, PNG, WebP, and PDF formats with 10MB per document, 1-10 documents per asset. Files are stored with crypto-randomized filenames, and SHA-256 hashes enable duplicate detection.</w:t>
      </w:r>
    </w:p>
    <w:p>
      <w:pPr>
        <w:pStyle w:val="Heading2"/>
        <w:spacing w:after="180" w:before="360"/>
      </w:pPr>
      <w:r>
        <w:rPr>
          <w:rFonts w:ascii="Times New Roman" w:cs="Times New Roman" w:eastAsia="Times New Roman" w:hAnsi="Times New Roman"/>
          <w:b/>
          <w:bCs/>
          <w:color w:val="1f2223"/>
          <w:sz w:val="30"/>
          <w:szCs w:val="30"/>
        </w:rPr>
        <w:t xml:space="preserve">5.2 Image Preprocessing</w:t>
      </w:r>
    </w:p>
    <w:p>
      <w:pPr>
        <w:spacing w:after="120" w:line="312"/>
      </w:pPr>
      <w:r>
        <w:rPr>
          <w:rFonts w:ascii="Times New Roman" w:cs="Times New Roman" w:eastAsia="Times New Roman" w:hAnsi="Times New Roman"/>
          <w:color w:val="2c2f30"/>
          <w:sz w:val="24"/>
          <w:szCs w:val="24"/>
        </w:rPr>
        <w:t xml:space="preserve">Stage 1 applies Gaussian noise reduction, CLAHE contrast enhancement, Hough transform skew correction, and Otsu binarization. These operations prepare document images for reliable OCR, particularly for mobile photographs with poor lighting or perspective distortion.</w:t>
      </w:r>
    </w:p>
    <w:p>
      <w:pPr>
        <w:pStyle w:val="Heading2"/>
        <w:spacing w:after="180" w:before="360"/>
      </w:pPr>
      <w:r>
        <w:rPr>
          <w:rFonts w:ascii="Times New Roman" w:cs="Times New Roman" w:eastAsia="Times New Roman" w:hAnsi="Times New Roman"/>
          <w:b/>
          <w:bCs/>
          <w:color w:val="1f2223"/>
          <w:sz w:val="30"/>
          <w:szCs w:val="30"/>
        </w:rPr>
        <w:t xml:space="preserve">5.3 OCR and Text Classification</w:t>
      </w:r>
    </w:p>
    <w:p>
      <w:pPr>
        <w:spacing w:after="120" w:line="312"/>
      </w:pPr>
      <w:r>
        <w:rPr>
          <w:rFonts w:ascii="Times New Roman" w:cs="Times New Roman" w:eastAsia="Times New Roman" w:hAnsi="Times New Roman"/>
          <w:color w:val="2c2f30"/>
          <w:sz w:val="24"/>
          <w:szCs w:val="24"/>
        </w:rPr>
        <w:t xml:space="preserve">Stage 2 uses a deep learning OCR engine supporting multiple languages, fonts, and layouts. Stage 3 employs a transformer-based classification model fine-tuned on financial/legal corpora to determine document type and relevance. Stage 4 uses NER to extract structured entities (addresses, amounts, dates, names, registration numbers).</w:t>
      </w:r>
    </w:p>
    <w:p>
      <w:pPr>
        <w:pStyle w:val="Heading2"/>
        <w:spacing w:after="180" w:before="360"/>
      </w:pPr>
      <w:r>
        <w:rPr>
          <w:rFonts w:ascii="Times New Roman" w:cs="Times New Roman" w:eastAsia="Times New Roman" w:hAnsi="Times New Roman"/>
          <w:b/>
          <w:bCs/>
          <w:color w:val="1f2223"/>
          <w:sz w:val="30"/>
          <w:szCs w:val="30"/>
        </w:rPr>
        <w:t xml:space="preserve">5.4 Verification Scoring</w:t>
      </w:r>
    </w:p>
    <w:p>
      <w:pPr>
        <w:spacing w:after="120" w:line="312"/>
      </w:pPr>
      <w:r>
        <w:rPr>
          <w:rFonts w:ascii="Times New Roman" w:cs="Times New Roman" w:eastAsia="Times New Roman" w:hAnsi="Times New Roman"/>
          <w:color w:val="2c2f30"/>
          <w:sz w:val="24"/>
          <w:szCs w:val="24"/>
        </w:rPr>
        <w:t xml:space="preserve">Stage 5 aggregates all outputs into a confidence score (0-100) and binary recommendation (verified/rejected). Factors include document completeness, information consistency, image quality, and compliance indicators. The threshold is typically 60/100.</w:t>
      </w:r>
    </w:p>
    <w:p>
      <w:pPr>
        <w:pStyle w:val="Heading1"/>
        <w:spacing w:after="240" w:before="480"/>
      </w:pPr>
      <w:r>
        <w:rPr>
          <w:rFonts w:ascii="Times New Roman" w:cs="Times New Roman" w:eastAsia="Times New Roman" w:hAnsi="Times New Roman"/>
          <w:b/>
          <w:bCs/>
          <w:color w:val="2c7aa1"/>
          <w:sz w:val="36"/>
          <w:szCs w:val="36"/>
        </w:rPr>
        <w:t xml:space="preserve">Chapter 6: Asset Lifecycle Management</w:t>
      </w:r>
    </w:p>
    <w:p>
      <w:pPr>
        <w:pStyle w:val="Heading2"/>
        <w:spacing w:after="180" w:before="360"/>
      </w:pPr>
      <w:r>
        <w:rPr>
          <w:rFonts w:ascii="Times New Roman" w:cs="Times New Roman" w:eastAsia="Times New Roman" w:hAnsi="Times New Roman"/>
          <w:b/>
          <w:bCs/>
          <w:color w:val="1f2223"/>
          <w:sz w:val="30"/>
          <w:szCs w:val="30"/>
        </w:rPr>
        <w:t xml:space="preserve">6.1 The State Machine</w:t>
      </w:r>
    </w:p>
    <w:p>
      <w:pPr>
        <w:spacing w:after="120" w:line="312"/>
      </w:pPr>
      <w:r>
        <w:rPr>
          <w:rFonts w:ascii="Times New Roman" w:cs="Times New Roman" w:eastAsia="Times New Roman" w:hAnsi="Times New Roman"/>
          <w:color w:val="2c2f30"/>
          <w:sz w:val="24"/>
          <w:szCs w:val="24"/>
        </w:rPr>
        <w:t xml:space="preserve">The lifecycle is governed by a deterministic finite state machine: draft, documents_uploaded, ai_analyzing, verified/rejected, compliance_review, active, funding, funded/expired, payout_pending, completed or refunding/closed. Each transition is timestamped and attributed to the triggering user or system.</w:t>
      </w:r>
    </w:p>
    <w:p>
      <w:pPr>
        <w:pStyle w:val="Heading2"/>
        <w:spacing w:after="180" w:before="360"/>
      </w:pPr>
      <w:r>
        <w:rPr>
          <w:rFonts w:ascii="Times New Roman" w:cs="Times New Roman" w:eastAsia="Times New Roman" w:hAnsi="Times New Roman"/>
          <w:b/>
          <w:bCs/>
          <w:color w:val="1f2223"/>
          <w:sz w:val="30"/>
          <w:szCs w:val="30"/>
        </w:rPr>
        <w:t xml:space="preserve">6.2 Detailed State Descriptions</w:t>
      </w:r>
    </w:p>
    <w:p>
      <w:pPr>
        <w:spacing w:after="120" w:line="312"/>
      </w:pPr>
      <w:r>
        <w:rPr>
          <w:rFonts w:ascii="Times New Roman" w:cs="Times New Roman" w:eastAsia="Times New Roman" w:hAnsi="Times New Roman"/>
          <w:color w:val="2c2f30"/>
          <w:sz w:val="24"/>
          <w:szCs w:val="24"/>
        </w:rPr>
        <w:t xml:space="preserve">In draft, the owner provides title, description, category (12 options), raise amount (100 INR to 1 Cr INR), and listing duration. Documents are uploaded in documents_uploaded. The AI pipeline runs in ai_analyzing. Compliance_review adds regulatory checks. Active assets are visible to investors. Funding leads to funded (payout) or expired (refund).</w:t>
      </w:r>
    </w:p>
    <w:p>
      <w:pPr>
        <w:pStyle w:val="Heading1"/>
        <w:spacing w:after="240" w:before="480"/>
      </w:pPr>
      <w:r>
        <w:rPr>
          <w:rFonts w:ascii="Times New Roman" w:cs="Times New Roman" w:eastAsia="Times New Roman" w:hAnsi="Times New Roman"/>
          <w:b/>
          <w:bCs/>
          <w:color w:val="2c7aa1"/>
          <w:sz w:val="36"/>
          <w:szCs w:val="36"/>
        </w:rPr>
        <w:t xml:space="preserve">Chapter 7: Escrow Mechanism</w:t>
      </w:r>
    </w:p>
    <w:p>
      <w:pPr>
        <w:pStyle w:val="Heading2"/>
        <w:spacing w:after="180" w:before="360"/>
      </w:pPr>
      <w:r>
        <w:rPr>
          <w:rFonts w:ascii="Times New Roman" w:cs="Times New Roman" w:eastAsia="Times New Roman" w:hAnsi="Times New Roman"/>
          <w:b/>
          <w:bCs/>
          <w:color w:val="1f2223"/>
          <w:sz w:val="30"/>
          <w:szCs w:val="30"/>
        </w:rPr>
        <w:t xml:space="preserve">7.1 Per-Asset Escrow Accounts</w:t>
      </w:r>
    </w:p>
    <w:p>
      <w:pPr>
        <w:spacing w:after="120" w:line="312"/>
      </w:pPr>
      <w:r>
        <w:rPr>
          <w:rFonts w:ascii="Times New Roman" w:cs="Times New Roman" w:eastAsia="Times New Roman" w:hAnsi="Times New Roman"/>
          <w:color w:val="2c2f30"/>
          <w:sz w:val="24"/>
          <w:szCs w:val="24"/>
        </w:rPr>
        <w:t xml:space="preserve">Each asset has a dedicated escrow account. Investor funds are locked via atomic INVEST transactions. The escrow_accounts table tracks balance, total received/released/refunded. Escrow_transactions records each LOCK/RELEASE/REFUND with user ID, amount, and blockchain tx hash.</w:t>
      </w:r>
    </w:p>
    <w:p>
      <w:pPr>
        <w:pStyle w:val="Heading2"/>
        <w:spacing w:after="180" w:before="360"/>
      </w:pPr>
      <w:r>
        <w:rPr>
          <w:rFonts w:ascii="Times New Roman" w:cs="Times New Roman" w:eastAsia="Times New Roman" w:hAnsi="Times New Roman"/>
          <w:b/>
          <w:bCs/>
          <w:color w:val="1f2223"/>
          <w:sz w:val="30"/>
          <w:szCs w:val="30"/>
        </w:rPr>
        <w:t xml:space="preserve">7.2 Payout and Refund Logic</w:t>
      </w:r>
    </w:p>
    <w:p>
      <w:pPr>
        <w:spacing w:after="120" w:line="312"/>
      </w:pPr>
      <w:r>
        <w:rPr>
          <w:rFonts w:ascii="Times New Roman" w:cs="Times New Roman" w:eastAsia="Times New Roman" w:hAnsi="Times New Roman"/>
          <w:color w:val="2c2f30"/>
          <w:sz w:val="24"/>
          <w:szCs w:val="24"/>
        </w:rPr>
        <w:t xml:space="preserve">On successful funding, the total locked minus 1.0% capital raise fee is released via PAYOUT transaction. On expiry, all funds are returned via REFUND transactions. All operations are atomic, on-chain, and individually recorded.</w:t>
      </w:r>
    </w:p>
    <w:p>
      <w:pPr>
        <w:pStyle w:val="Heading1"/>
        <w:spacing w:after="240" w:before="480"/>
      </w:pPr>
      <w:r>
        <w:rPr>
          <w:rFonts w:ascii="Times New Roman" w:cs="Times New Roman" w:eastAsia="Times New Roman" w:hAnsi="Times New Roman"/>
          <w:b/>
          <w:bCs/>
          <w:color w:val="2c7aa1"/>
          <w:sz w:val="36"/>
          <w:szCs w:val="36"/>
        </w:rPr>
        <w:t xml:space="preserve">Chapter 8: Trading Engine</w:t>
      </w:r>
    </w:p>
    <w:p>
      <w:pPr>
        <w:pStyle w:val="Heading2"/>
        <w:spacing w:after="180" w:before="360"/>
      </w:pPr>
      <w:r>
        <w:rPr>
          <w:rFonts w:ascii="Times New Roman" w:cs="Times New Roman" w:eastAsia="Times New Roman" w:hAnsi="Times New Roman"/>
          <w:b/>
          <w:bCs/>
          <w:color w:val="1f2223"/>
          <w:sz w:val="30"/>
          <w:szCs w:val="30"/>
        </w:rPr>
        <w:t xml:space="preserve">8.1 Order Book Architecture</w:t>
      </w:r>
    </w:p>
    <w:p>
      <w:pPr>
        <w:spacing w:after="120" w:line="312"/>
      </w:pPr>
      <w:r>
        <w:rPr>
          <w:rFonts w:ascii="Times New Roman" w:cs="Times New Roman" w:eastAsia="Times New Roman" w:hAnsi="Times New Roman"/>
          <w:color w:val="2c2f30"/>
          <w:sz w:val="24"/>
          <w:szCs w:val="24"/>
        </w:rPr>
        <w:t xml:space="preserve">A centralized limit-order book supports market and limit orders. Users can maintain max 50 open orders. Orders are stored in coin_orders with side, type, amount, price, filled, remaining, and status fields.</w:t>
      </w:r>
    </w:p>
    <w:p>
      <w:pPr>
        <w:pStyle w:val="Heading2"/>
        <w:spacing w:after="180" w:before="360"/>
      </w:pPr>
      <w:r>
        <w:rPr>
          <w:rFonts w:ascii="Times New Roman" w:cs="Times New Roman" w:eastAsia="Times New Roman" w:hAnsi="Times New Roman"/>
          <w:b/>
          <w:bCs/>
          <w:color w:val="1f2223"/>
          <w:sz w:val="30"/>
          <w:szCs w:val="30"/>
        </w:rPr>
        <w:t xml:space="preserve">8.2 Price-Time Priority Matching</w:t>
      </w:r>
    </w:p>
    <w:p>
      <w:pPr>
        <w:spacing w:after="120" w:line="312"/>
      </w:pPr>
      <w:r>
        <w:rPr>
          <w:rFonts w:ascii="Times New Roman" w:cs="Times New Roman" w:eastAsia="Times New Roman" w:hAnsi="Times New Roman"/>
          <w:color w:val="2c2f30"/>
          <w:sz w:val="24"/>
          <w:szCs w:val="24"/>
        </w:rPr>
        <w:t xml:space="preserve">Bids sorted by price DESC, asks by price ASC, ties broken by timestamp. The engine iterates the opposite side, matching until filled or no matching prices remain. Unfilled limit orders are inserted into the book.</w:t>
      </w:r>
    </w:p>
    <w:p>
      <w:pPr>
        <w:pStyle w:val="Heading2"/>
        <w:spacing w:after="180" w:before="360"/>
      </w:pPr>
      <w:r>
        <w:rPr>
          <w:rFonts w:ascii="Times New Roman" w:cs="Times New Roman" w:eastAsia="Times New Roman" w:hAnsi="Times New Roman"/>
          <w:b/>
          <w:bCs/>
          <w:color w:val="1f2223"/>
          <w:sz w:val="30"/>
          <w:szCs w:val="30"/>
        </w:rPr>
        <w:t xml:space="preserve">8.3 On-Chain Settlement</w:t>
      </w:r>
    </w:p>
    <w:p>
      <w:pPr>
        <w:spacing w:after="120" w:line="312"/>
      </w:pPr>
      <w:r>
        <w:rPr>
          <w:rFonts w:ascii="Times New Roman" w:cs="Times New Roman" w:eastAsia="Times New Roman" w:hAnsi="Times New Roman"/>
          <w:color w:val="2c2f30"/>
          <w:sz w:val="24"/>
          <w:szCs w:val="24"/>
        </w:rPr>
        <w:t xml:space="preserve">Each trade generates a TRADE transaction on the blockchain with buyer/seller addresses, amount, price, 0.1% fees each side, and tx hash. Double-mint prevention uses atomic UPDATE with WHERE status IN ('created','pending').</w:t>
      </w:r>
    </w:p>
    <w:p>
      <w:pPr>
        <w:pStyle w:val="Heading1"/>
        <w:spacing w:after="240" w:before="480"/>
      </w:pPr>
      <w:r>
        <w:rPr>
          <w:rFonts w:ascii="Times New Roman" w:cs="Times New Roman" w:eastAsia="Times New Roman" w:hAnsi="Times New Roman"/>
          <w:b/>
          <w:bCs/>
          <w:color w:val="2c7aa1"/>
          <w:sz w:val="36"/>
          <w:szCs w:val="36"/>
        </w:rPr>
        <w:t xml:space="preserve">Chapter 9: Payment Integration</w:t>
      </w:r>
    </w:p>
    <w:p>
      <w:pPr>
        <w:pStyle w:val="Heading2"/>
        <w:spacing w:after="180" w:before="360"/>
      </w:pPr>
      <w:r>
        <w:rPr>
          <w:rFonts w:ascii="Times New Roman" w:cs="Times New Roman" w:eastAsia="Times New Roman" w:hAnsi="Times New Roman"/>
          <w:b/>
          <w:bCs/>
          <w:color w:val="1f2223"/>
          <w:sz w:val="30"/>
          <w:szCs w:val="30"/>
        </w:rPr>
        <w:t xml:space="preserve">9.1 Fiat-to-Crypto Purchase Flow</w:t>
      </w:r>
    </w:p>
    <w:p>
      <w:pPr>
        <w:spacing w:after="120" w:line="312"/>
      </w:pPr>
      <w:r>
        <w:rPr>
          <w:rFonts w:ascii="Times New Roman" w:cs="Times New Roman" w:eastAsia="Times New Roman" w:hAnsi="Times New Roman"/>
          <w:color w:val="2c2f30"/>
          <w:sz w:val="24"/>
          <w:szCs w:val="24"/>
        </w:rPr>
        <w:t xml:space="preserve">Users purchase tokens via configured payment gateways. Payment orders record gateway, fiat amount, coin amount, exchange rate, and KYC tier. Payment transactions maintain gateway-level audit trails for reconciliation.</w:t>
      </w:r>
    </w:p>
    <w:p>
      <w:pPr>
        <w:pStyle w:val="Heading2"/>
        <w:spacing w:after="180" w:before="360"/>
      </w:pPr>
      <w:r>
        <w:rPr>
          <w:rFonts w:ascii="Times New Roman" w:cs="Times New Roman" w:eastAsia="Times New Roman" w:hAnsi="Times New Roman"/>
          <w:b/>
          <w:bCs/>
          <w:color w:val="1f2223"/>
          <w:sz w:val="30"/>
          <w:szCs w:val="30"/>
        </w:rPr>
        <w:t xml:space="preserve">9.2 Payment Verification</w:t>
      </w:r>
    </w:p>
    <w:p>
      <w:pPr>
        <w:spacing w:after="120" w:line="312"/>
      </w:pPr>
      <w:r>
        <w:rPr>
          <w:rFonts w:ascii="Times New Roman" w:cs="Times New Roman" w:eastAsia="Times New Roman" w:hAnsi="Times New Roman"/>
          <w:color w:val="2c2f30"/>
          <w:sz w:val="24"/>
          <w:szCs w:val="24"/>
        </w:rPr>
        <w:t xml:space="preserve">Gateway callbacks trigger verification via API query. Atomic UPDATE with status check prevents double-minting: zero affected rows = duplicate rejected; one row = proceed to MINT on blockchain and credit wallet.</w:t>
      </w:r>
    </w:p>
    <w:p>
      <w:pPr>
        <w:pStyle w:val="Heading1"/>
        <w:spacing w:after="240" w:before="480"/>
      </w:pPr>
      <w:r>
        <w:rPr>
          <w:rFonts w:ascii="Times New Roman" w:cs="Times New Roman" w:eastAsia="Times New Roman" w:hAnsi="Times New Roman"/>
          <w:b/>
          <w:bCs/>
          <w:color w:val="2c7aa1"/>
          <w:sz w:val="36"/>
          <w:szCs w:val="36"/>
        </w:rPr>
        <w:t xml:space="preserve">Chapter 10: Algorithmic Price Discovery</w:t>
      </w:r>
    </w:p>
    <w:p>
      <w:pPr>
        <w:pStyle w:val="Heading2"/>
        <w:spacing w:after="180" w:before="360"/>
      </w:pPr>
      <w:r>
        <w:rPr>
          <w:rFonts w:ascii="Times New Roman" w:cs="Times New Roman" w:eastAsia="Times New Roman" w:hAnsi="Times New Roman"/>
          <w:b/>
          <w:bCs/>
          <w:color w:val="1f2223"/>
          <w:sz w:val="30"/>
          <w:szCs w:val="30"/>
        </w:rPr>
        <w:t xml:space="preserve">10.1 The Dual-Factor Formula</w:t>
      </w:r>
    </w:p>
    <w:p>
      <w:pPr>
        <w:spacing w:after="120" w:line="312"/>
      </w:pPr>
      <w:r>
        <w:rPr>
          <w:rFonts w:ascii="Times New Roman" w:cs="Times New Roman" w:eastAsia="Times New Roman" w:hAnsi="Times New Roman"/>
          <w:color w:val="2c2f30"/>
          <w:sz w:val="24"/>
          <w:szCs w:val="24"/>
        </w:rPr>
        <w:t xml:space="preserve">P = P_initial x (1 + totalSupply/10000) x (1 + totalAssetsFunded x 0.04). Factor 1: supply-based inflation (at 100K tokens, factor = 11.0). Factor 2: utility-based (4% per funded asset). Together they create a positive feedback loop aligning price with platform activity.</w:t>
      </w:r>
    </w:p>
    <w:p>
      <w:pPr>
        <w:pStyle w:val="Heading2"/>
        <w:spacing w:after="180" w:before="360"/>
      </w:pPr>
      <w:r>
        <w:rPr>
          <w:rFonts w:ascii="Times New Roman" w:cs="Times New Roman" w:eastAsia="Times New Roman" w:hAnsi="Times New Roman"/>
          <w:b/>
          <w:bCs/>
          <w:color w:val="1f2223"/>
          <w:sz w:val="30"/>
          <w:szCs w:val="30"/>
        </w:rPr>
        <w:t xml:space="preserve">10.2 Asset Funding Boost</w:t>
      </w:r>
    </w:p>
    <w:p>
      <w:pPr>
        <w:spacing w:after="120" w:line="312"/>
      </w:pPr>
      <w:r>
        <w:rPr>
          <w:rFonts w:ascii="Times New Roman" w:cs="Times New Roman" w:eastAsia="Times New Roman" w:hAnsi="Times New Roman"/>
          <w:color w:val="2c2f30"/>
          <w:sz w:val="24"/>
          <w:szCs w:val="24"/>
        </w:rPr>
        <w:t xml:space="preserve">boost = min(5%, 2% + raiseAmount/1M x 3%). Small raises get ~2.3% boost; large raises reach the 5% cap. This creates visible, predictable connections between funding events and price movements.</w:t>
      </w:r>
    </w:p>
    <w:p>
      <w:pPr>
        <w:pStyle w:val="Heading1"/>
        <w:spacing w:after="240" w:before="480"/>
      </w:pPr>
      <w:r>
        <w:rPr>
          <w:rFonts w:ascii="Times New Roman" w:cs="Times New Roman" w:eastAsia="Times New Roman" w:hAnsi="Times New Roman"/>
          <w:b/>
          <w:bCs/>
          <w:color w:val="2c7aa1"/>
          <w:sz w:val="36"/>
          <w:szCs w:val="36"/>
        </w:rPr>
        <w:t xml:space="preserve">Chapter 11: Fee Structure and Economics</w:t>
      </w:r>
    </w:p>
    <w:p>
      <w:pPr>
        <w:pStyle w:val="Heading2"/>
        <w:spacing w:after="180" w:before="360"/>
      </w:pPr>
      <w:r>
        <w:rPr>
          <w:rFonts w:ascii="Times New Roman" w:cs="Times New Roman" w:eastAsia="Times New Roman" w:hAnsi="Times New Roman"/>
          <w:b/>
          <w:bCs/>
          <w:color w:val="1f2223"/>
          <w:sz w:val="30"/>
          <w:szCs w:val="30"/>
        </w:rPr>
        <w:t xml:space="preserve">11.1 Multi-Tiered Fee Model</w:t>
      </w:r>
    </w:p>
    <w:p>
      <w:pPr>
        <w:spacing w:after="120" w:line="312"/>
      </w:pPr>
      <w:r>
        <w:rPr>
          <w:rFonts w:ascii="Times New Roman" w:cs="Times New Roman" w:eastAsia="Times New Roman" w:hAnsi="Times New Roman"/>
          <w:color w:val="2c2f30"/>
          <w:sz w:val="24"/>
          <w:szCs w:val="24"/>
        </w:rPr>
        <w:t xml:space="preserve">Five fee types: trading (0.1% both sides), listing (1.0 AC), capital raise (1.0% of raised), withdrawal (0.5 AC), gateway (variable). All recorded in fee_ledger and aggregated in economy.total_fees_collected.</w:t>
      </w:r>
    </w:p>
    <w:p>
      <w:pPr>
        <w:pStyle w:val="Heading1"/>
        <w:spacing w:after="240" w:before="480"/>
      </w:pPr>
      <w:r>
        <w:rPr>
          <w:rFonts w:ascii="Times New Roman" w:cs="Times New Roman" w:eastAsia="Times New Roman" w:hAnsi="Times New Roman"/>
          <w:b/>
          <w:bCs/>
          <w:color w:val="2c7aa1"/>
          <w:sz w:val="36"/>
          <w:szCs w:val="36"/>
        </w:rPr>
        <w:t xml:space="preserve">Chapter 12: API Design</w:t>
      </w:r>
    </w:p>
    <w:p>
      <w:pPr>
        <w:pStyle w:val="Heading2"/>
        <w:spacing w:after="180" w:before="360"/>
      </w:pPr>
      <w:r>
        <w:rPr>
          <w:rFonts w:ascii="Times New Roman" w:cs="Times New Roman" w:eastAsia="Times New Roman" w:hAnsi="Times New Roman"/>
          <w:b/>
          <w:bCs/>
          <w:color w:val="1f2223"/>
          <w:sz w:val="30"/>
          <w:szCs w:val="30"/>
        </w:rPr>
        <w:t xml:space="preserve">12.1 RESTful Architecture</w:t>
      </w:r>
    </w:p>
    <w:p>
      <w:pPr>
        <w:spacing w:after="120" w:line="312"/>
      </w:pPr>
      <w:r>
        <w:rPr>
          <w:rFonts w:ascii="Times New Roman" w:cs="Times New Roman" w:eastAsia="Times New Roman" w:hAnsi="Times New Roman"/>
          <w:color w:val="2c2f30"/>
          <w:sz w:val="24"/>
          <w:szCs w:val="24"/>
        </w:rPr>
        <w:t xml:space="preserve">Express.js with JSON bodies (5MB limit), standard REST conventions, HTTP status codes. 18 endpoints across authentication, wallet, asset, market, portfolio, blockchain, withdrawal, and payment groups. All pass through security middleware.</w:t>
      </w:r>
    </w:p>
    <w:p>
      <w:pPr>
        <w:pStyle w:val="Heading1"/>
        <w:spacing w:after="240" w:before="480"/>
      </w:pPr>
      <w:r>
        <w:rPr>
          <w:rFonts w:ascii="Times New Roman" w:cs="Times New Roman" w:eastAsia="Times New Roman" w:hAnsi="Times New Roman"/>
          <w:b/>
          <w:bCs/>
          <w:color w:val="2c7aa1"/>
          <w:sz w:val="36"/>
          <w:szCs w:val="36"/>
        </w:rPr>
        <w:t xml:space="preserve">Chapter 13: Security Architecture</w:t>
      </w:r>
    </w:p>
    <w:p>
      <w:pPr>
        <w:pStyle w:val="Heading2"/>
        <w:spacing w:after="180" w:before="360"/>
      </w:pPr>
      <w:r>
        <w:rPr>
          <w:rFonts w:ascii="Times New Roman" w:cs="Times New Roman" w:eastAsia="Times New Roman" w:hAnsi="Times New Roman"/>
          <w:b/>
          <w:bCs/>
          <w:color w:val="1f2223"/>
          <w:sz w:val="30"/>
          <w:szCs w:val="30"/>
        </w:rPr>
        <w:t xml:space="preserve">13.1 Defense-in-Depth</w:t>
      </w:r>
    </w:p>
    <w:p>
      <w:pPr>
        <w:spacing w:after="120" w:line="312"/>
      </w:pPr>
      <w:r>
        <w:rPr>
          <w:rFonts w:ascii="Times New Roman" w:cs="Times New Roman" w:eastAsia="Times New Roman" w:hAnsi="Times New Roman"/>
          <w:color w:val="2c2f30"/>
          <w:sz w:val="24"/>
          <w:szCs w:val="24"/>
        </w:rPr>
        <w:t xml:space="preserve">JWT Bearer auth (authenticate, optionalAuth, requireRole). Token bucket rate limiting: general (100/60s), auth (10/60s), financial (5/1s). Input sanitization removes HTML/JS/SQL patterns. Audit logging with hash chain integrity verification.</w:t>
      </w:r>
    </w:p>
    <w:p>
      <w:pPr>
        <w:pStyle w:val="Heading2"/>
        <w:spacing w:after="180" w:before="360"/>
      </w:pPr>
      <w:r>
        <w:rPr>
          <w:rFonts w:ascii="Times New Roman" w:cs="Times New Roman" w:eastAsia="Times New Roman" w:hAnsi="Times New Roman"/>
          <w:b/>
          <w:bCs/>
          <w:color w:val="1f2223"/>
          <w:sz w:val="30"/>
          <w:szCs w:val="30"/>
        </w:rPr>
        <w:t xml:space="preserve">13.2 Hash Chain Audit</w:t>
      </w:r>
    </w:p>
    <w:p>
      <w:pPr>
        <w:spacing w:after="120" w:line="312"/>
      </w:pPr>
      <w:r>
        <w:rPr>
          <w:rFonts w:ascii="Times New Roman" w:cs="Times New Roman" w:eastAsia="Times New Roman" w:hAnsi="Times New Roman"/>
          <w:color w:val="2c2f30"/>
          <w:sz w:val="24"/>
          <w:szCs w:val="24"/>
        </w:rPr>
        <w:t xml:space="preserve">Each audit_logs entry includes SHA-256 hash of previous entry, creating tamper-evident chain. Modifications break the chain, detectable through integrity verification. Provides cryptographic binding superior to simple log files.</w:t>
      </w:r>
    </w:p>
    <w:p>
      <w:pPr>
        <w:pStyle w:val="Heading1"/>
        <w:spacing w:after="240" w:before="480"/>
      </w:pPr>
      <w:r>
        <w:rPr>
          <w:rFonts w:ascii="Times New Roman" w:cs="Times New Roman" w:eastAsia="Times New Roman" w:hAnsi="Times New Roman"/>
          <w:b/>
          <w:bCs/>
          <w:color w:val="2c7aa1"/>
          <w:sz w:val="36"/>
          <w:szCs w:val="36"/>
        </w:rPr>
        <w:t xml:space="preserve">Chapter 14: Deployment and Operations</w:t>
      </w:r>
    </w:p>
    <w:p>
      <w:pPr>
        <w:pStyle w:val="Heading2"/>
        <w:spacing w:after="180" w:before="360"/>
      </w:pPr>
      <w:r>
        <w:rPr>
          <w:rFonts w:ascii="Times New Roman" w:cs="Times New Roman" w:eastAsia="Times New Roman" w:hAnsi="Times New Roman"/>
          <w:b/>
          <w:bCs/>
          <w:color w:val="1f2223"/>
          <w:sz w:val="30"/>
          <w:szCs w:val="30"/>
        </w:rPr>
        <w:t xml:space="preserve">14.1 System Requirements</w:t>
      </w:r>
    </w:p>
    <w:p>
      <w:pPr>
        <w:spacing w:after="120" w:line="312"/>
      </w:pPr>
      <w:r>
        <w:rPr>
          <w:rFonts w:ascii="Times New Roman" w:cs="Times New Roman" w:eastAsia="Times New Roman" w:hAnsi="Times New Roman"/>
          <w:color w:val="2c2f30"/>
          <w:sz w:val="24"/>
          <w:szCs w:val="24"/>
        </w:rPr>
        <w:t xml:space="preserve">Minimum 2 CPU cores, 4GB RAM. Storage depends on chain length and database size: ~5-10GB for 10K users and 100K transactions. Deployed as single Node.js process with PM2/systemd, with regular backups of SQLite and chain.json.</w:t>
      </w:r>
    </w:p>
    <w:p>
      <w:pPr>
        <w:pStyle w:val="Heading2"/>
        <w:spacing w:after="180" w:before="360"/>
      </w:pPr>
      <w:r>
        <w:rPr>
          <w:rFonts w:ascii="Times New Roman" w:cs="Times New Roman" w:eastAsia="Times New Roman" w:hAnsi="Times New Roman"/>
          <w:b/>
          <w:bCs/>
          <w:color w:val="1f2223"/>
          <w:sz w:val="30"/>
          <w:szCs w:val="30"/>
        </w:rPr>
        <w:t xml:space="preserve">14.2 Monitoring</w:t>
      </w:r>
    </w:p>
    <w:p>
      <w:pPr>
        <w:spacing w:after="120" w:line="312"/>
      </w:pPr>
      <w:r>
        <w:rPr>
          <w:rFonts w:ascii="Times New Roman" w:cs="Times New Roman" w:eastAsia="Times New Roman" w:hAnsi="Times New Roman"/>
          <w:color w:val="2c2f30"/>
          <w:sz w:val="24"/>
          <w:szCs w:val="24"/>
        </w:rPr>
        <w:t xml:space="preserve">Key metrics: chain health, trading throughput, economic indicators (price, market cap, TVL), system health (CPU, memory, disk I/O, API latency). The economy table provides a real-time dashboard.</w:t>
      </w:r>
    </w:p>
    <w:p>
      <w:pPr>
        <w:pStyle w:val="Heading1"/>
        <w:spacing w:after="240" w:before="480"/>
      </w:pPr>
      <w:r>
        <w:rPr>
          <w:rFonts w:ascii="Times New Roman" w:cs="Times New Roman" w:eastAsia="Times New Roman" w:hAnsi="Times New Roman"/>
          <w:b/>
          <w:bCs/>
          <w:color w:val="2c7aa1"/>
          <w:sz w:val="36"/>
          <w:szCs w:val="36"/>
        </w:rPr>
        <w:t xml:space="preserve">Chapter 15: Future Directions</w:t>
      </w:r>
    </w:p>
    <w:p>
      <w:pPr>
        <w:pStyle w:val="Heading2"/>
        <w:spacing w:after="180" w:before="360"/>
      </w:pPr>
      <w:r>
        <w:rPr>
          <w:rFonts w:ascii="Times New Roman" w:cs="Times New Roman" w:eastAsia="Times New Roman" w:hAnsi="Times New Roman"/>
          <w:b/>
          <w:bCs/>
          <w:color w:val="1f2223"/>
          <w:sz w:val="30"/>
          <w:szCs w:val="30"/>
        </w:rPr>
        <w:t xml:space="preserve">15.1 Proof-of-Stake Migration</w:t>
      </w:r>
    </w:p>
    <w:p>
      <w:pPr>
        <w:spacing w:after="120" w:line="312"/>
      </w:pPr>
      <w:r>
        <w:rPr>
          <w:rFonts w:ascii="Times New Roman" w:cs="Times New Roman" w:eastAsia="Times New Roman" w:hAnsi="Times New Roman"/>
          <w:color w:val="2c2f30"/>
          <w:sz w:val="24"/>
          <w:szCs w:val="24"/>
        </w:rPr>
        <w:t xml:space="preserve">PoS would eliminate energy-intensive mining, reduce environmental footprint, and enable faster confirmations. Validators selected by staked tokens with slashing for misbehavior. Must maintain backward compatibility with existing chain history.</w:t>
      </w:r>
    </w:p>
    <w:p>
      <w:pPr>
        <w:pStyle w:val="Heading2"/>
        <w:spacing w:after="180" w:before="360"/>
      </w:pPr>
      <w:r>
        <w:rPr>
          <w:rFonts w:ascii="Times New Roman" w:cs="Times New Roman" w:eastAsia="Times New Roman" w:hAnsi="Times New Roman"/>
          <w:b/>
          <w:bCs/>
          <w:color w:val="1f2223"/>
          <w:sz w:val="30"/>
          <w:szCs w:val="30"/>
        </w:rPr>
        <w:t xml:space="preserve">15.2 Cross-Chain Interoperability</w:t>
      </w:r>
    </w:p>
    <w:p>
      <w:pPr>
        <w:spacing w:after="120" w:line="312"/>
      </w:pPr>
      <w:r>
        <w:rPr>
          <w:rFonts w:ascii="Times New Roman" w:cs="Times New Roman" w:eastAsia="Times New Roman" w:hAnsi="Times New Roman"/>
          <w:color w:val="2c2f30"/>
          <w:sz w:val="24"/>
          <w:szCs w:val="24"/>
        </w:rPr>
        <w:t xml:space="preserve">Bridge protocols enabling Averon tokens to transfer to other blockchain networks. Would expand reach and enable DeFi ecosystem integration through wrapped tokens or cross-chain message passing for asset records and escrow states.</w:t>
      </w:r>
    </w:p>
    <w:p>
      <w:pPr>
        <w:pStyle w:val="Heading2"/>
        <w:spacing w:after="180" w:before="360"/>
      </w:pPr>
      <w:r>
        <w:rPr>
          <w:rFonts w:ascii="Times New Roman" w:cs="Times New Roman" w:eastAsia="Times New Roman" w:hAnsi="Times New Roman"/>
          <w:b/>
          <w:bCs/>
          <w:color w:val="1f2223"/>
          <w:sz w:val="30"/>
          <w:szCs w:val="30"/>
        </w:rPr>
        <w:t xml:space="preserve">15.3 Decentralized Identity</w:t>
      </w:r>
    </w:p>
    <w:p>
      <w:pPr>
        <w:spacing w:after="120" w:line="312"/>
      </w:pPr>
      <w:r>
        <w:rPr>
          <w:rFonts w:ascii="Times New Roman" w:cs="Times New Roman" w:eastAsia="Times New Roman" w:hAnsi="Times New Roman"/>
          <w:color w:val="2c2f30"/>
          <w:sz w:val="24"/>
          <w:szCs w:val="24"/>
        </w:rPr>
        <w:t xml:space="preserve">W3C DID and Verifiable Credentials for portable, user-controlled KYC. Users obtain credentials from trusted issuers and present them for verification without platform-specific KYC processes.</w:t>
      </w:r>
    </w:p>
    <w:p>
      <w:pPr>
        <w:pStyle w:val="Heading2"/>
        <w:spacing w:after="180" w:before="360"/>
      </w:pPr>
      <w:r>
        <w:rPr>
          <w:rFonts w:ascii="Times New Roman" w:cs="Times New Roman" w:eastAsia="Times New Roman" w:hAnsi="Times New Roman"/>
          <w:b/>
          <w:bCs/>
          <w:color w:val="1f2223"/>
          <w:sz w:val="30"/>
          <w:szCs w:val="30"/>
        </w:rPr>
        <w:t xml:space="preserve">15.4 Microservices Migration</w:t>
      </w:r>
    </w:p>
    <w:p>
      <w:pPr>
        <w:spacing w:after="120" w:line="312"/>
      </w:pPr>
      <w:r>
        <w:rPr>
          <w:rFonts w:ascii="Times New Roman" w:cs="Times New Roman" w:eastAsia="Times New Roman" w:hAnsi="Times New Roman"/>
          <w:color w:val="2c2f30"/>
          <w:sz w:val="24"/>
          <w:szCs w:val="24"/>
        </w:rPr>
        <w:t xml:space="preserve">Extracting blockchain mining, AI pipeline, and trading engine into independent services for horizontal scaling. Requires message queues, distributed transactions, and service discovery. Current modular codebase facilitates migration.</w:t>
      </w:r>
    </w:p>
    <w:sectPr>
      <w:headerReference w:type="default" r:id="rId8"/>
      <w:footerReference w:type="default" r:id="rId9"/>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7280"/>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7280"/>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b7280"/>
        <w:sz w:val="18"/>
        <w:szCs w:val="18"/>
      </w:rPr>
      <w:t xml:space="preserve">Averon v4.0.0 Technical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c2f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Averon v4.0.0 - Technical Deep Dive</dc:title>
  <dc:creator>Averon Technologies</dc:creator>
  <dc:description>Comprehensive 15-chapter technical reference for the Averon asset tokenization platform</dc:description>
  <cp:lastModifiedBy>Un-named</cp:lastModifiedBy>
  <cp:revision>1</cp:revision>
  <dcterms:created xsi:type="dcterms:W3CDTF">2026-07-08T18:44:16.886Z</dcterms:created>
  <dcterms:modified xsi:type="dcterms:W3CDTF">2026-07-08T18:44:16.886Z</dcterms:modified>
</cp:coreProperties>
</file>

<file path=docProps/custom.xml><?xml version="1.0" encoding="utf-8"?>
<Properties xmlns="http://schemas.openxmlformats.org/officeDocument/2006/custom-properties" xmlns:vt="http://schemas.openxmlformats.org/officeDocument/2006/docPropsVTypes"/>
</file>