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future_of_water_treatment_in_indi_6a544f"/>
      <w:r>
        <w:rPr>
          <w:rFonts w:eastAsia="Georgia" w:cs="Georgia" w:ascii="Georgia" w:hAnsi="Georgia"/>
          <w:b/>
          <w:sz w:val="56"/>
        </w:rPr>
        <w:t xml:space="preserve">Future of Water Treatment in India (2025–2030)</w:t>
      </w:r>
      <w:bookmarkEnd w:id="0"/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/>
        <w:t xml:space="preserve">India's water treatment market is positioned for strong expansion, with one widely cited estimate placing the market at USD 13.9 billion in 2025 and implying a rise to roughly USD 30.2 billion by 2030 if the cited 16.7% growth rate holds through the decade.[1] Municipal water treatment is identified as the largest application category, while the market remains fragmented, creating room for scale players, EPC specialists, and digital service providers.[1] The strategic implication is straightforward: demand growth is likely to be driven not only by new treatment capacity, but also by reuse, compliance, monitoring, and lifecycle services.[1][2]</w:t>
      </w:r>
    </w:p>
    <w:p>
      <w:pPr>
        <w:spacing w:line="271" w:before="240" w:lineRule="auto"/>
      </w:pPr>
      <w:bookmarkStart w:id="2" w:name="market_overview"/>
      <w:r>
        <w:rPr>
          <w:b/>
          <w:sz w:val="42"/>
        </w:rPr>
        <w:t xml:space="preserve">Market Overview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One current market source estimates India's water treatment market at USD 12.1 billion in 2024 and USD 13.9 billion in 2025, with a forecast of USD 40.9 billion by 2032 at a 16.7% CAGR.[1] A separate India water and wastewater treatment market source values a narrower market at USD 1.51 billion in 2022 with 11.22% growth expected during 2025–2030, which suggests that published numbers vary significantly depending on scope definitions such as equipment, technology, or full-solution market boundaries.[3] For a CEO-style strategy deck, the broader market framing is more useful because it better captures municipal projects, industrial systems, O&amp;M, recycling, and integrated solutions.[1]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Segment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Strategic read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Municipal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Largest current demand pool, supported by public investment and network expansion.[1][4]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Industrial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Margin-rich segment driven by compliance, reuse, ZLD, and process-water reliability.[5][6]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Commercial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Smaller today, but relevant in decentralized and building-scale systems, especially urban growth corridors.[7][8]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" w:name="demand_drivers"/>
      <w:r>
        <w:rPr>
          <w:b/>
          <w:sz w:val="42"/>
        </w:rPr>
        <w:t xml:space="preserve">Demand Drivers</w:t>
      </w:r>
      <w:bookmarkEnd w:id="3"/>
    </w:p>
    <w:p>
      <w:pPr>
        <w:spacing w:after="210" w:lineRule="auto"/>
      </w:pPr>
      <w:r>
        <w:rPr/>
        <w:t xml:space="preserve">India's water stress is a structural demand driver: NITI Aayog-linked reporting says national water demand could be twice available supply by 2030, with severe implications for growth and public welfare.[9][10] Jal Jeevan Mission aims to provide safe and adequate drinking water through household tap connections and includes source sustainability, recharge, reuse, greywater management, and water-quality interventions, all of which support treatment demand.[4][11] The National Water Mission adds policy support for conservation, basin-level management, wastewater recycling, and a 20% improvement in water-use efficiency, reinforcing the commercial logic for treatment and reuse technologies.[2][12]</w:t>
      </w:r>
    </w:p>
    <w:p>
      <w:pPr>
        <w:spacing w:line="271" w:before="240" w:lineRule="auto"/>
      </w:pPr>
      <w:bookmarkStart w:id="4" w:name="industry_value_chain"/>
      <w:r>
        <w:rPr>
          <w:b/>
          <w:sz w:val="42"/>
        </w:rPr>
        <w:t xml:space="preserve">Industry Value Chain</w:t>
      </w:r>
      <w:bookmarkEnd w:id="4"/>
    </w:p>
    <w:p>
      <w:pPr>
        <w:spacing w:after="210" w:lineRule="auto"/>
      </w:pPr>
      <w:r>
        <w:rPr/>
        <w:t xml:space="preserve">The value chain runs from raw water sourcing and intake, to treatment, to distribution, to wastewater collection, to recycling and reuse.[5][13] Value is typically created at high-complexity nodes such as desalination, advanced membrane systems, industrial effluent treatment, ZLD, digital monitoring, and long-term operations and maintenance contracts.[14][5] This matters strategically because companies that move beyond EPC into recurring O&amp;M, performance guarantees, and reuse services are better placed to protect margins in a fragmented market.[1][15]</w:t>
      </w:r>
    </w:p>
    <w:p>
      <w:pPr>
        <w:spacing w:line="271" w:before="240" w:lineRule="auto"/>
      </w:pPr>
      <w:bookmarkStart w:id="5" w:name="key_players"/>
      <w:r>
        <w:rPr>
          <w:b/>
          <w:sz w:val="42"/>
        </w:rPr>
        <w:t xml:space="preserve">Key Players</w:t>
      </w:r>
      <w:bookmarkEnd w:id="5"/>
    </w:p>
    <w:p>
      <w:pPr>
        <w:spacing w:after="210" w:lineRule="auto"/>
      </w:pPr>
      <w:r>
        <w:rPr/>
        <w:t xml:space="preserve">VA Tech Wabag positions itself as a pure-play water technology multinational with strengths in municipal water, wastewater, and desalination, including seawater reverse osmosis for large urban systems.[14][16] Thermax focuses strongly on industrial and integrated water-waste solutions, including wastewater recycle, ZLD, sewage treatment, and desalination, making it attractive where water and energy efficiency decisions are linked.[5][17] Ion Exchange offers broad water and environment management solutions across industries, homes, and communities, backed by a large installation and service network that supports standardized products and recurring services.[15][13]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it does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Strategic positioning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Large Indian leaders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End-to-end engineering, treatment, recycle, desal, O&amp;M.[14][5][13]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Scale, execution credibility, ability to win large public and industrial projects.[14][5]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Emerging digital players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Monitoring, analytics, leak detection, predictive maintenance.[8][6]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Asset-light entry point into smart water management.[8]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 players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Membranes, specialty systems, automation, technology partnerships.[13][18]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Premium tech depth and selective participation in high-value projects.[13]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6" w:name="technology_trends"/>
      <w:r>
        <w:rPr>
          <w:b/>
          <w:sz w:val="42"/>
        </w:rPr>
        <w:t xml:space="preserve">Technology Trends</w:t>
      </w:r>
      <w:bookmarkEnd w:id="6"/>
    </w:p>
    <w:p>
      <w:pPr>
        <w:spacing w:after="210" w:lineRule="auto"/>
      </w:pPr>
      <w:r>
        <w:rPr/>
        <w:t xml:space="preserve">ZLD is especially important in industrial wastewater contexts because regulators increasingly push recycling and in-principle zero discharge in sensitive sectors and locations, although the CPCB has clarified that ZLD is not mandatory for all industrial units nationwide.[19][6] Reverse osmosis remains a core treatment technology across desalination, industrial water, and recycling systems, but its main drawbacks are reject management, membrane fouling, and energy cost.[14][15] AI and IoT are emerging as the digital layer for predictive maintenance, water-quality tracking, and smart system optimization, while decentralized treatment gains relevance in urban, peri-urban, and Tier-2/3 applications where centralized infrastructure is delayed or costly.[8][6]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Opportunity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Strong compliance-led demand in industrial reuse and discharge-sensitive sectors.[6][19]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 capex and energy intensity.[20][19]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Proven, scalable, versatile across multiple end uses.[14][15]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Brine/reject disposal and operating cost.[14][15]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&amp; IoT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Better uptime, predictive maintenance, smart monitoring.[8][6]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Fragmented adoption and integration capability gaps.[8]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Decentralized systems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Faster deployment in underserved cities and commercial clusters.[8][7]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Financing and O&amp;M discipline at smaller sites.[8]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7" w:name="regulation_and_esg"/>
      <w:r>
        <w:rPr>
          <w:b/>
          <w:sz w:val="42"/>
        </w:rPr>
        <w:t xml:space="preserve">Regulation and ESG</w:t>
      </w:r>
      <w:bookmarkEnd w:id="7"/>
    </w:p>
    <w:p>
      <w:pPr>
        <w:spacing w:after="210" w:lineRule="auto"/>
      </w:pPr>
      <w:r>
        <w:rPr/>
        <w:t xml:space="preserve">The regulatory landscape is one of the clearest market catalysts. Jal Jeevan Mission drives public drinking-water infrastructure, while CPCB/SPCB enforcement drives industrial effluent treatment, recycle, and compliance investment.[4][6] On the corporate side, BRSR and BRSR Core require disclosure and assurance of indicators including water consumption and GHG emissions for large listed companies, which raises the value of measurable water-efficiency and reuse solutions.[21][22] That directly connects water treatment from a compliance purchase to an ESG and investor-relations tool.[23][22]</w:t>
      </w:r>
    </w:p>
    <w:p>
      <w:pPr>
        <w:spacing w:line="271" w:before="240" w:lineRule="auto"/>
      </w:pPr>
      <w:bookmarkStart w:id="8" w:name="opportunities"/>
      <w:r>
        <w:rPr>
          <w:b/>
          <w:sz w:val="42"/>
        </w:rPr>
        <w:t xml:space="preserve">Opportunities</w:t>
      </w:r>
      <w:bookmarkEnd w:id="8"/>
    </w:p>
    <w:p>
      <w:pPr>
        <w:spacing w:after="210" w:lineRule="auto"/>
      </w:pPr>
      <w:r>
        <w:rPr/>
        <w:t xml:space="preserve">The most attractive opportunity pools appear to be industrial wastewater recycling, ZLD-linked solutions, and recurring O&amp;M contracts where customers face compliance pressure and high process dependence on water.[5][6] Tier-2 and Tier-3 urban infrastructure is another major growth lane because treatment demand rises faster than municipal execution capacity, creating openings for modular and PPP-based models.[8][4] Smart water management also stands out because digital overlays can improve performance of existing plants without waiting for full capex cycles.[8][6]</w:t>
      </w:r>
    </w:p>
    <w:p>
      <w:pPr>
        <w:spacing w:line="271" w:before="240" w:lineRule="auto"/>
      </w:pPr>
      <w:bookmarkStart w:id="9" w:name="risks_and_challenges"/>
      <w:r>
        <w:rPr>
          <w:b/>
          <w:sz w:val="42"/>
        </w:rPr>
        <w:t xml:space="preserve">Risks and Challenges</w:t>
      </w:r>
      <w:bookmarkEnd w:id="9"/>
    </w:p>
    <w:p>
      <w:pPr>
        <w:spacing w:after="210" w:lineRule="auto"/>
      </w:pPr>
      <w:r>
        <w:rPr/>
        <w:t xml:space="preserve">The sector still faces high capex, long project cycles, payment delays in public projects, technology cost sensitivity, and fragmented competition.[1][5] Regulatory demand is supportive, but uneven state-level implementation and approval delays can slow project conversion.[2][6] Companies also need to manage execution risk carefully in advanced systems like desalination and ZLD, where performance failure can quickly erode margins and reputation.[14][19]</w:t>
      </w:r>
    </w:p>
    <w:p>
      <w:pPr>
        <w:spacing w:line="271" w:before="240" w:lineRule="auto"/>
      </w:pPr>
      <w:bookmarkStart w:id="10" w:name="strategic_recommendations"/>
      <w:r>
        <w:rPr>
          <w:b/>
          <w:sz w:val="42"/>
        </w:rPr>
        <w:t xml:space="preserve">Strategic Recommendations</w:t>
      </w:r>
      <w:bookmarkEnd w:id="10"/>
    </w:p>
    <w:p>
      <w:pPr>
        <w:spacing w:after="210" w:lineRule="auto"/>
      </w:pPr>
      <w:r>
        <w:rPr/>
        <w:t xml:space="preserve">A strong market-entry or expansion strategy should prioritize industrial clients first, because reuse, compliance, and uptime needs make the value proposition clearer and margins stronger than in purely commoditized public bids.[5][6] The second priority should be to build ESG-linked offerings that quantify water savings, reuse volumes, and emissions implications, since BRSR-style disclosure pressure is making measurement itself commercially valuable.[21][23] The third priority should be selective participation in municipal and PPP opportunities where long-term O&amp;M, digital monitoring, or niche technology depth can protect returns better than pure low-bid EPC competition.[4][5]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Awasthi</dc:creator>
  <cp:keywords>html-to-docx</cp:keywords>
  <dc:description/>
  <cp:lastModifiedBy>html-to-docx</cp:lastModifiedBy>
  <cp:revision>1</cp:revision>
  <dcterms:created xsi:type="dcterms:W3CDTF">2026-04-01T08:24:00Z</dcterms:created>
  <dcterms:modified xsi:type="dcterms:W3CDTF">2026-04-01T08:24:00Z</dcterms:modified>
</cp:coreProperties>
</file>