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899FB" w14:textId="77777777" w:rsidR="00251F3F" w:rsidRDefault="00251F3F" w:rsidP="00251F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14:paraId="77380AE5" w14:textId="77777777" w:rsidR="00251F3F" w:rsidRDefault="00251F3F" w:rsidP="00251F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14:paraId="3C06F5CB" w14:textId="77777777" w:rsidR="00251F3F" w:rsidRDefault="00251F3F" w:rsidP="00251F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14:paraId="7210374C" w14:textId="77777777" w:rsidR="00251F3F" w:rsidRDefault="00251F3F" w:rsidP="00251F3F">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r>
        <w:rPr>
          <w:noProof/>
          <w:lang w:eastAsia="en-IN"/>
        </w:rPr>
        <w:drawing>
          <wp:inline distT="0" distB="0" distL="0" distR="0" wp14:anchorId="647C5AED" wp14:editId="11B91B54">
            <wp:extent cx="2091055" cy="2000885"/>
            <wp:effectExtent l="0" t="0" r="4445" b="0"/>
            <wp:docPr id="1" name="Picture 1" descr="IIM Rohtak | Indian Institute of Management Roht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IIM Rohtak | Indian Institute of Management Rohtak"/>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1055" cy="2000885"/>
                    </a:xfrm>
                    <a:prstGeom prst="rect">
                      <a:avLst/>
                    </a:prstGeom>
                    <a:noFill/>
                    <a:ln>
                      <a:noFill/>
                    </a:ln>
                  </pic:spPr>
                </pic:pic>
              </a:graphicData>
            </a:graphic>
          </wp:inline>
        </w:drawing>
      </w:r>
    </w:p>
    <w:p w14:paraId="7326548B" w14:textId="77777777" w:rsidR="00251F3F" w:rsidRDefault="00251F3F" w:rsidP="00251F3F">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n-IN"/>
        </w:rPr>
      </w:pPr>
    </w:p>
    <w:p w14:paraId="2086551B" w14:textId="5F8BE43C" w:rsidR="00251F3F" w:rsidRDefault="00353A4B" w:rsidP="00251F3F">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n-IN"/>
        </w:rPr>
      </w:pPr>
      <w:r>
        <w:rPr>
          <w:rFonts w:ascii="Times New Roman" w:eastAsia="Times New Roman" w:hAnsi="Times New Roman" w:cs="Times New Roman"/>
          <w:b/>
          <w:bCs/>
          <w:kern w:val="36"/>
          <w:sz w:val="36"/>
          <w:szCs w:val="36"/>
          <w:lang w:eastAsia="en-IN"/>
        </w:rPr>
        <w:t xml:space="preserve">ITA </w:t>
      </w:r>
      <w:r w:rsidR="00251F3F">
        <w:rPr>
          <w:rFonts w:ascii="Times New Roman" w:eastAsia="Times New Roman" w:hAnsi="Times New Roman" w:cs="Times New Roman"/>
          <w:b/>
          <w:bCs/>
          <w:kern w:val="36"/>
          <w:sz w:val="36"/>
          <w:szCs w:val="36"/>
          <w:lang w:eastAsia="en-IN"/>
        </w:rPr>
        <w:t>Assignment</w:t>
      </w:r>
      <w:r>
        <w:rPr>
          <w:rFonts w:ascii="Times New Roman" w:eastAsia="Times New Roman" w:hAnsi="Times New Roman" w:cs="Times New Roman"/>
          <w:b/>
          <w:bCs/>
          <w:kern w:val="36"/>
          <w:sz w:val="36"/>
          <w:szCs w:val="36"/>
          <w:lang w:eastAsia="en-IN"/>
        </w:rPr>
        <w:t xml:space="preserve"> 2</w:t>
      </w:r>
    </w:p>
    <w:p w14:paraId="19AF4C4D" w14:textId="79AEA7B3" w:rsidR="00353A4B" w:rsidRDefault="00353A4B" w:rsidP="00251F3F">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n-IN"/>
        </w:rPr>
      </w:pPr>
      <w:r>
        <w:rPr>
          <w:rFonts w:ascii="Times New Roman" w:eastAsia="Times New Roman" w:hAnsi="Times New Roman" w:cs="Times New Roman"/>
          <w:b/>
          <w:bCs/>
          <w:kern w:val="36"/>
          <w:sz w:val="36"/>
          <w:szCs w:val="36"/>
          <w:lang w:eastAsia="en-IN"/>
        </w:rPr>
        <w:t>Credit Card Fraud Detection with ML</w:t>
      </w:r>
    </w:p>
    <w:p w14:paraId="5C7BA2FB" w14:textId="77777777" w:rsidR="00251F3F" w:rsidRDefault="00251F3F" w:rsidP="00251F3F">
      <w:pPr>
        <w:spacing w:before="100" w:beforeAutospacing="1" w:after="100" w:afterAutospacing="1" w:line="240" w:lineRule="auto"/>
        <w:jc w:val="center"/>
        <w:outlineLvl w:val="0"/>
        <w:rPr>
          <w:rFonts w:ascii="Times New Roman" w:eastAsia="Times New Roman" w:hAnsi="Times New Roman" w:cs="Times New Roman"/>
          <w:b/>
          <w:bCs/>
          <w:kern w:val="36"/>
          <w:sz w:val="28"/>
          <w:szCs w:val="28"/>
          <w:lang w:eastAsia="en-IN"/>
        </w:rPr>
      </w:pPr>
      <w:r>
        <w:rPr>
          <w:rFonts w:ascii="Times New Roman" w:eastAsia="Times New Roman" w:hAnsi="Times New Roman" w:cs="Times New Roman"/>
          <w:b/>
          <w:bCs/>
          <w:kern w:val="36"/>
          <w:sz w:val="28"/>
          <w:szCs w:val="28"/>
          <w:lang w:eastAsia="en-IN"/>
        </w:rPr>
        <w:t>Rishabh Agarwal</w:t>
      </w:r>
    </w:p>
    <w:p w14:paraId="0E285D8A" w14:textId="77777777" w:rsidR="00251F3F" w:rsidRDefault="00251F3F" w:rsidP="00251F3F">
      <w:pPr>
        <w:spacing w:before="100" w:beforeAutospacing="1" w:after="100" w:afterAutospacing="1" w:line="240" w:lineRule="auto"/>
        <w:jc w:val="center"/>
        <w:outlineLvl w:val="0"/>
        <w:rPr>
          <w:rFonts w:ascii="Times New Roman" w:eastAsia="Times New Roman" w:hAnsi="Times New Roman" w:cs="Times New Roman"/>
          <w:b/>
          <w:bCs/>
          <w:kern w:val="36"/>
          <w:sz w:val="28"/>
          <w:szCs w:val="28"/>
          <w:lang w:eastAsia="en-IN"/>
        </w:rPr>
      </w:pPr>
      <w:r>
        <w:rPr>
          <w:rFonts w:ascii="Times New Roman" w:eastAsia="Times New Roman" w:hAnsi="Times New Roman" w:cs="Times New Roman"/>
          <w:b/>
          <w:bCs/>
          <w:kern w:val="36"/>
          <w:sz w:val="28"/>
          <w:szCs w:val="28"/>
          <w:lang w:eastAsia="en-IN"/>
        </w:rPr>
        <w:t>IPM06054</w:t>
      </w:r>
    </w:p>
    <w:p w14:paraId="3D992F41" w14:textId="77777777" w:rsidR="00251F3F" w:rsidRPr="005C43F8" w:rsidRDefault="00251F3F" w:rsidP="00251F3F">
      <w:pPr>
        <w:spacing w:before="100" w:beforeAutospacing="1" w:after="100" w:afterAutospacing="1" w:line="240" w:lineRule="auto"/>
        <w:jc w:val="center"/>
        <w:outlineLvl w:val="0"/>
        <w:rPr>
          <w:rFonts w:ascii="Times New Roman" w:eastAsia="Times New Roman" w:hAnsi="Times New Roman" w:cs="Times New Roman"/>
          <w:b/>
          <w:bCs/>
          <w:kern w:val="36"/>
          <w:sz w:val="28"/>
          <w:szCs w:val="28"/>
          <w:lang w:eastAsia="en-IN"/>
        </w:rPr>
      </w:pPr>
      <w:r>
        <w:rPr>
          <w:rFonts w:ascii="Times New Roman" w:eastAsia="Times New Roman" w:hAnsi="Times New Roman" w:cs="Times New Roman"/>
          <w:b/>
          <w:bCs/>
          <w:kern w:val="36"/>
          <w:sz w:val="28"/>
          <w:szCs w:val="28"/>
          <w:lang w:eastAsia="en-IN"/>
        </w:rPr>
        <w:t>Section-A</w:t>
      </w:r>
    </w:p>
    <w:p w14:paraId="38B6AC54" w14:textId="77777777" w:rsidR="00251F3F" w:rsidRDefault="00251F3F" w:rsidP="00251F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14:paraId="52FDD294" w14:textId="77777777" w:rsidR="00251F3F" w:rsidRDefault="00251F3F" w:rsidP="00251F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14:paraId="6E845D37" w14:textId="77777777" w:rsidR="00251F3F" w:rsidRDefault="00251F3F" w:rsidP="00251F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14:paraId="66F904EF" w14:textId="77777777" w:rsidR="00251F3F" w:rsidRDefault="00251F3F" w:rsidP="00251F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14:paraId="7A3F2BB3" w14:textId="77777777" w:rsidR="00251F3F" w:rsidRDefault="00251F3F" w:rsidP="00251F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14:paraId="491B89B2" w14:textId="77777777" w:rsidR="00353A4B" w:rsidRPr="00353A4B" w:rsidRDefault="00353A4B" w:rsidP="00353A4B">
      <w:pPr>
        <w:spacing w:line="240" w:lineRule="auto"/>
        <w:rPr>
          <w:b/>
          <w:bCs/>
          <w:sz w:val="28"/>
          <w:szCs w:val="28"/>
        </w:rPr>
      </w:pPr>
      <w:r w:rsidRPr="00353A4B">
        <w:rPr>
          <w:b/>
          <w:bCs/>
          <w:sz w:val="28"/>
          <w:szCs w:val="28"/>
        </w:rPr>
        <w:lastRenderedPageBreak/>
        <w:t>EXECUTIVE SUMMARY</w:t>
      </w:r>
    </w:p>
    <w:p w14:paraId="2714DC98" w14:textId="77777777" w:rsidR="00353A4B" w:rsidRDefault="00353A4B" w:rsidP="00353A4B">
      <w:pPr>
        <w:spacing w:line="240" w:lineRule="auto"/>
      </w:pPr>
      <w:r w:rsidRPr="00353A4B">
        <w:t xml:space="preserve">In this report, a machine-learning pipeline designed to determine credit-card fraud is developed, based on a synthetic dataset of 50000 transactions, which simulates the Kaggle ULB benchmark. A two-track approach that includes unsupervised K-Means clustering and supervised Random-Forest classification actualizes an area under the ROC curve of 0.9993 and accuracy of 94.12%. Later decision threshold optimization increases the recall rate by 80 to 85 showing the feasibility of a production-ready system that can be challenged to meet the estimate of the global fraud load of $404 billion. </w:t>
      </w:r>
    </w:p>
    <w:p w14:paraId="770194AB" w14:textId="77777777" w:rsidR="00353A4B" w:rsidRPr="00353A4B" w:rsidRDefault="00353A4B" w:rsidP="00353A4B">
      <w:pPr>
        <w:spacing w:line="240" w:lineRule="auto"/>
        <w:rPr>
          <w:b/>
          <w:bCs/>
          <w:sz w:val="28"/>
          <w:szCs w:val="28"/>
        </w:rPr>
      </w:pPr>
      <w:r w:rsidRPr="00353A4B">
        <w:rPr>
          <w:b/>
          <w:bCs/>
          <w:sz w:val="28"/>
          <w:szCs w:val="28"/>
        </w:rPr>
        <w:t xml:space="preserve">Problem Statement &amp; Dataset </w:t>
      </w:r>
    </w:p>
    <w:p w14:paraId="39AB7D04" w14:textId="665F7468" w:rsidR="00353A4B" w:rsidRPr="00353A4B" w:rsidRDefault="00353A4B" w:rsidP="00353A4B">
      <w:pPr>
        <w:spacing w:line="240" w:lineRule="auto"/>
      </w:pPr>
      <w:r w:rsidRPr="00353A4B">
        <w:t>Credit scoring frauds cost the financial sector around the globe 33.83 billion per annum and it is predicted that it will increase to 404 billion in the next decade (Nilson Report). The dataset consists of 50,000 transactions, each of which is represented using 28 anonymised principal component analysis (PCA) features (V1-V28), another Time feature, an Amount feature, and a binary class variable (0= legitimate, 1= fraudulent). The main difficulty lies in extreme disequilibrium in classes; there are only 87 fake records out of 50 000, which is equivalent to the prevalence of 0.173 574 percentage minority to majority.</w:t>
      </w:r>
    </w:p>
    <w:tbl>
      <w:tblPr>
        <w:tblW w:w="69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35"/>
      </w:tblGrid>
      <w:tr w:rsidR="00353A4B" w14:paraId="56144D39" w14:textId="77777777" w:rsidTr="00353A4B">
        <w:tblPrEx>
          <w:tblCellMar>
            <w:top w:w="0" w:type="dxa"/>
            <w:bottom w:w="0" w:type="dxa"/>
          </w:tblCellMar>
        </w:tblPrEx>
        <w:trPr>
          <w:jc w:val="center"/>
        </w:trPr>
        <w:tc>
          <w:tcPr>
            <w:tcW w:w="6935" w:type="dxa"/>
          </w:tcPr>
          <w:p w14:paraId="29292063" w14:textId="77777777" w:rsidR="00353A4B" w:rsidRPr="008138D7" w:rsidRDefault="00353A4B" w:rsidP="00A63456">
            <w:pPr>
              <w:spacing w:before="80" w:after="40"/>
              <w:jc w:val="center"/>
              <w:rPr>
                <w:b/>
                <w:bCs/>
              </w:rPr>
            </w:pPr>
            <w:r w:rsidRPr="008138D7">
              <w:rPr>
                <w:b/>
                <w:bCs/>
                <w:noProof/>
              </w:rPr>
              <w:drawing>
                <wp:inline distT="0" distB="0" distL="0" distR="0" wp14:anchorId="63E35B5F" wp14:editId="3FB48037">
                  <wp:extent cx="3779520" cy="2342960"/>
                  <wp:effectExtent l="0" t="0" r="0" b="635"/>
                  <wp:docPr id="38165497" name="Picture 38165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782739" cy="2344955"/>
                          </a:xfrm>
                          <a:prstGeom prst="rect">
                            <a:avLst/>
                          </a:prstGeom>
                        </pic:spPr>
                      </pic:pic>
                    </a:graphicData>
                  </a:graphic>
                </wp:inline>
              </w:drawing>
            </w:r>
          </w:p>
          <w:p w14:paraId="29CC44F1" w14:textId="77777777" w:rsidR="00353A4B" w:rsidRDefault="00353A4B" w:rsidP="00A63456">
            <w:pPr>
              <w:spacing w:after="120"/>
              <w:jc w:val="center"/>
            </w:pPr>
            <w:r>
              <w:rPr>
                <w:rFonts w:ascii="Calibri" w:eastAsia="Calibri" w:hAnsi="Calibri" w:cs="Calibri"/>
                <w:i/>
                <w:iCs/>
                <w:color w:val="666666"/>
                <w:sz w:val="18"/>
                <w:szCs w:val="18"/>
              </w:rPr>
              <w:t>Fig 1: Class distribution — 574:1 imbalance</w:t>
            </w:r>
          </w:p>
        </w:tc>
      </w:tr>
      <w:tr w:rsidR="00353A4B" w14:paraId="15EF8611" w14:textId="77777777" w:rsidTr="00353A4B">
        <w:tblPrEx>
          <w:tblCellMar>
            <w:top w:w="0" w:type="dxa"/>
            <w:bottom w:w="0" w:type="dxa"/>
          </w:tblCellMar>
        </w:tblPrEx>
        <w:trPr>
          <w:jc w:val="center"/>
        </w:trPr>
        <w:tc>
          <w:tcPr>
            <w:tcW w:w="6935" w:type="dxa"/>
          </w:tcPr>
          <w:p w14:paraId="4943A9DE" w14:textId="089E6CEF" w:rsidR="00353A4B" w:rsidRPr="00353A4B" w:rsidRDefault="00353A4B" w:rsidP="00353A4B">
            <w:pPr>
              <w:spacing w:before="80" w:after="40"/>
              <w:jc w:val="center"/>
              <w:rPr>
                <w:b/>
                <w:bCs/>
                <w:noProof/>
              </w:rPr>
            </w:pPr>
            <w:r>
              <w:rPr>
                <w:noProof/>
              </w:rPr>
              <w:drawing>
                <wp:inline distT="0" distB="0" distL="0" distR="0" wp14:anchorId="1B10F3DF" wp14:editId="405907F9">
                  <wp:extent cx="4008120" cy="2382267"/>
                  <wp:effectExtent l="0" t="0" r="0" b="0"/>
                  <wp:docPr id="15150368" name="Picture 15150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15169" cy="2386457"/>
                          </a:xfrm>
                          <a:prstGeom prst="rect">
                            <a:avLst/>
                          </a:prstGeom>
                        </pic:spPr>
                      </pic:pic>
                    </a:graphicData>
                  </a:graphic>
                </wp:inline>
              </w:drawing>
            </w:r>
          </w:p>
          <w:p w14:paraId="26023BBD" w14:textId="053CCD58" w:rsidR="00353A4B" w:rsidRPr="00353A4B" w:rsidRDefault="00353A4B" w:rsidP="00353A4B">
            <w:pPr>
              <w:spacing w:before="80" w:after="40"/>
              <w:jc w:val="center"/>
              <w:rPr>
                <w:noProof/>
              </w:rPr>
            </w:pPr>
            <w:r>
              <w:rPr>
                <w:rFonts w:ascii="Calibri" w:eastAsia="Calibri" w:hAnsi="Calibri" w:cs="Calibri"/>
                <w:i/>
                <w:iCs/>
                <w:color w:val="666666"/>
                <w:sz w:val="18"/>
                <w:szCs w:val="18"/>
              </w:rPr>
              <w:t>Fig 2: Projected $404B fraud loss over 10 year</w:t>
            </w:r>
            <w:r>
              <w:rPr>
                <w:rFonts w:ascii="Calibri" w:eastAsia="Calibri" w:hAnsi="Calibri" w:cs="Calibri"/>
                <w:i/>
                <w:iCs/>
                <w:color w:val="666666"/>
                <w:sz w:val="18"/>
                <w:szCs w:val="18"/>
              </w:rPr>
              <w:t>s</w:t>
            </w:r>
          </w:p>
        </w:tc>
      </w:tr>
    </w:tbl>
    <w:p w14:paraId="64A9DD81" w14:textId="5375D15C" w:rsidR="00353A4B" w:rsidRPr="00353A4B" w:rsidRDefault="00353A4B" w:rsidP="00353A4B">
      <w:r w:rsidRPr="00353A4B">
        <w:lastRenderedPageBreak/>
        <w:t>•Fig 1 (log scale) shows the massive gap — without special handling, any model would just predict "legit" for everything and never catch fraud.</w:t>
      </w:r>
    </w:p>
    <w:p w14:paraId="63A38C02" w14:textId="69ED8BD7" w:rsidR="00353A4B" w:rsidRPr="00353A4B" w:rsidRDefault="00353A4B" w:rsidP="00353A4B">
      <w:r w:rsidRPr="00353A4B">
        <w:t>•Fig 2 shows fraud losses growing exponentially alongside digital payments, confirming why ML solutions are now mandatory.</w:t>
      </w:r>
    </w:p>
    <w:p w14:paraId="143F0305" w14:textId="77777777" w:rsidR="00353A4B" w:rsidRPr="00353A4B" w:rsidRDefault="00353A4B" w:rsidP="00353A4B">
      <w:r w:rsidRPr="00353A4B">
        <w:t> </w:t>
      </w:r>
    </w:p>
    <w:p w14:paraId="50638592" w14:textId="1623D092" w:rsidR="00353A4B" w:rsidRPr="00353A4B" w:rsidRDefault="00353A4B" w:rsidP="00353A4B">
      <w:pPr>
        <w:rPr>
          <w:b/>
          <w:bCs/>
          <w:sz w:val="28"/>
          <w:szCs w:val="28"/>
        </w:rPr>
      </w:pPr>
      <w:r>
        <w:rPr>
          <w:b/>
          <w:bCs/>
          <w:sz w:val="28"/>
          <w:szCs w:val="28"/>
        </w:rPr>
        <w:t>E</w:t>
      </w:r>
      <w:r w:rsidRPr="00353A4B">
        <w:rPr>
          <w:b/>
          <w:bCs/>
          <w:sz w:val="28"/>
          <w:szCs w:val="28"/>
        </w:rPr>
        <w:t>xploratory Data Analysis</w:t>
      </w:r>
    </w:p>
    <w:p w14:paraId="72B671A5" w14:textId="6BAF3C2B" w:rsidR="00353A4B" w:rsidRDefault="00353A4B" w:rsidP="00353A4B">
      <w:r w:rsidRPr="00353A4B">
        <w:t>Before modelling, two key visualisations confirm the data has detectable fraud signals</w:t>
      </w:r>
      <w:r>
        <w:t>.</w:t>
      </w:r>
    </w:p>
    <w:tbl>
      <w:tblPr>
        <w:tblW w:w="69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35"/>
      </w:tblGrid>
      <w:tr w:rsidR="00353A4B" w14:paraId="776D06D3" w14:textId="77777777" w:rsidTr="00353A4B">
        <w:tblPrEx>
          <w:tblCellMar>
            <w:top w:w="0" w:type="dxa"/>
            <w:bottom w:w="0" w:type="dxa"/>
          </w:tblCellMar>
        </w:tblPrEx>
        <w:trPr>
          <w:jc w:val="center"/>
        </w:trPr>
        <w:tc>
          <w:tcPr>
            <w:tcW w:w="6935" w:type="dxa"/>
          </w:tcPr>
          <w:p w14:paraId="3FD9E0C8" w14:textId="77777777" w:rsidR="00353A4B" w:rsidRDefault="00353A4B" w:rsidP="00353A4B">
            <w:pPr>
              <w:spacing w:before="80" w:after="40"/>
            </w:pPr>
            <w:r>
              <w:rPr>
                <w:noProof/>
              </w:rPr>
              <w:drawing>
                <wp:inline distT="0" distB="0" distL="0" distR="0" wp14:anchorId="2CABCE48" wp14:editId="56155CEC">
                  <wp:extent cx="4210050" cy="2743200"/>
                  <wp:effectExtent l="0" t="0" r="0" b="0"/>
                  <wp:docPr id="1389928623" name="Picture 1389928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210050" cy="2743200"/>
                          </a:xfrm>
                          <a:prstGeom prst="rect">
                            <a:avLst/>
                          </a:prstGeom>
                        </pic:spPr>
                      </pic:pic>
                    </a:graphicData>
                  </a:graphic>
                </wp:inline>
              </w:drawing>
            </w:r>
          </w:p>
          <w:p w14:paraId="24912F0D" w14:textId="77777777" w:rsidR="00353A4B" w:rsidRDefault="00353A4B" w:rsidP="00A63456">
            <w:pPr>
              <w:spacing w:after="120"/>
              <w:jc w:val="center"/>
            </w:pPr>
            <w:r>
              <w:rPr>
                <w:rFonts w:ascii="Calibri" w:eastAsia="Calibri" w:hAnsi="Calibri" w:cs="Calibri"/>
                <w:i/>
                <w:iCs/>
                <w:color w:val="666666"/>
                <w:sz w:val="18"/>
                <w:szCs w:val="18"/>
              </w:rPr>
              <w:t>Fig 3: PCA scatter — fraud (red) clearly separated</w:t>
            </w:r>
          </w:p>
        </w:tc>
      </w:tr>
      <w:tr w:rsidR="00353A4B" w14:paraId="3AB98577" w14:textId="77777777" w:rsidTr="00353A4B">
        <w:tblPrEx>
          <w:tblCellMar>
            <w:top w:w="0" w:type="dxa"/>
            <w:bottom w:w="0" w:type="dxa"/>
          </w:tblCellMar>
        </w:tblPrEx>
        <w:trPr>
          <w:jc w:val="center"/>
        </w:trPr>
        <w:tc>
          <w:tcPr>
            <w:tcW w:w="6935" w:type="dxa"/>
          </w:tcPr>
          <w:p w14:paraId="67917618" w14:textId="77777777" w:rsidR="00353A4B" w:rsidRDefault="00353A4B" w:rsidP="00353A4B">
            <w:pPr>
              <w:spacing w:before="80" w:after="40"/>
              <w:jc w:val="center"/>
            </w:pPr>
            <w:r>
              <w:rPr>
                <w:noProof/>
              </w:rPr>
              <w:drawing>
                <wp:inline distT="0" distB="0" distL="0" distR="0" wp14:anchorId="2515792D" wp14:editId="43D6841F">
                  <wp:extent cx="4391025" cy="2743200"/>
                  <wp:effectExtent l="0" t="0" r="0" b="0"/>
                  <wp:docPr id="1139164407" name="Picture 1139164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91025" cy="2743200"/>
                          </a:xfrm>
                          <a:prstGeom prst="rect">
                            <a:avLst/>
                          </a:prstGeom>
                        </pic:spPr>
                      </pic:pic>
                    </a:graphicData>
                  </a:graphic>
                </wp:inline>
              </w:drawing>
            </w:r>
          </w:p>
          <w:p w14:paraId="45F413A0" w14:textId="526C701A" w:rsidR="00353A4B" w:rsidRDefault="00353A4B" w:rsidP="00353A4B">
            <w:pPr>
              <w:spacing w:before="80" w:after="40"/>
              <w:jc w:val="center"/>
              <w:rPr>
                <w:noProof/>
              </w:rPr>
            </w:pPr>
            <w:r>
              <w:rPr>
                <w:rFonts w:ascii="Calibri" w:eastAsia="Calibri" w:hAnsi="Calibri" w:cs="Calibri"/>
                <w:i/>
                <w:iCs/>
                <w:color w:val="666666"/>
                <w:sz w:val="18"/>
                <w:szCs w:val="18"/>
              </w:rPr>
              <w:t>Fig 4: KDE — fraud peaks at higher amounts</w:t>
            </w:r>
          </w:p>
        </w:tc>
      </w:tr>
    </w:tbl>
    <w:p w14:paraId="5C32CA4A" w14:textId="77051CF2" w:rsidR="00353A4B" w:rsidRPr="00353A4B" w:rsidRDefault="00353A4B" w:rsidP="00353A4B"/>
    <w:p w14:paraId="270A99BB" w14:textId="1A345AB1" w:rsidR="00353A4B" w:rsidRPr="00353A4B" w:rsidRDefault="00353A4B" w:rsidP="00353A4B">
      <w:r w:rsidRPr="00353A4B">
        <w:lastRenderedPageBreak/>
        <w:t>•Fig 3 (PCA Scatter): Fraudulent transactions (red) cluster in a completely different region from legitimate ones (grey). This spatial separation confirms the model has a real signal to learn from.</w:t>
      </w:r>
    </w:p>
    <w:p w14:paraId="5CB86C9B" w14:textId="1C9B9DDD" w:rsidR="00353A4B" w:rsidRPr="00353A4B" w:rsidRDefault="00353A4B" w:rsidP="00353A4B">
      <w:r w:rsidRPr="00353A4B">
        <w:t>•Fig 4 (KDE — Amount): Fraud peaks at higher transaction values — fraudsters spend more per transaction. The Time plot shows near-identical curves — time of day is a weak predictor.</w:t>
      </w:r>
    </w:p>
    <w:p w14:paraId="44D7F1E8" w14:textId="77777777" w:rsidR="00353A4B" w:rsidRDefault="00353A4B" w:rsidP="00353A4B"/>
    <w:p w14:paraId="2A2B4FB3" w14:textId="0FF9926D" w:rsidR="00353A4B" w:rsidRPr="00353A4B" w:rsidRDefault="00353A4B" w:rsidP="00353A4B">
      <w:pPr>
        <w:rPr>
          <w:b/>
          <w:bCs/>
          <w:i/>
          <w:iCs/>
          <w:sz w:val="24"/>
          <w:szCs w:val="24"/>
        </w:rPr>
      </w:pPr>
      <w:r w:rsidRPr="00353A4B">
        <w:rPr>
          <w:b/>
          <w:bCs/>
          <w:i/>
          <w:iCs/>
          <w:sz w:val="24"/>
          <w:szCs w:val="24"/>
        </w:rPr>
        <w:t>Syst</w:t>
      </w:r>
      <w:r w:rsidRPr="00353A4B">
        <w:rPr>
          <w:b/>
          <w:bCs/>
          <w:i/>
          <w:iCs/>
          <w:sz w:val="24"/>
          <w:szCs w:val="24"/>
        </w:rPr>
        <w:t>em Comparison: Rules vs ML</w:t>
      </w:r>
    </w:p>
    <w:p w14:paraId="5A9D5440" w14:textId="3338A505" w:rsidR="00353A4B" w:rsidRPr="00353A4B" w:rsidRDefault="00353A4B" w:rsidP="00353A4B">
      <w:r w:rsidRPr="00353A4B">
        <w:t xml:space="preserve"> </w:t>
      </w:r>
      <w:r>
        <w:rPr>
          <w:noProof/>
        </w:rPr>
        <w:drawing>
          <wp:inline distT="0" distB="0" distL="0" distR="0" wp14:anchorId="1F1F8DA8" wp14:editId="78CA9FFE">
            <wp:extent cx="5731510" cy="2595100"/>
            <wp:effectExtent l="0" t="0" r="2540" b="0"/>
            <wp:docPr id="1483172174" name="Picture 1483172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31510" cy="2595100"/>
                    </a:xfrm>
                    <a:prstGeom prst="rect">
                      <a:avLst/>
                    </a:prstGeom>
                  </pic:spPr>
                </pic:pic>
              </a:graphicData>
            </a:graphic>
          </wp:inline>
        </w:drawing>
      </w:r>
    </w:p>
    <w:p w14:paraId="51232D47" w14:textId="77777777" w:rsidR="00353A4B" w:rsidRDefault="00353A4B" w:rsidP="00353A4B">
      <w:pPr>
        <w:jc w:val="center"/>
      </w:pPr>
      <w:r>
        <w:rPr>
          <w:rFonts w:ascii="Calibri" w:eastAsia="Calibri" w:hAnsi="Calibri" w:cs="Calibri"/>
          <w:i/>
          <w:iCs/>
          <w:color w:val="666666"/>
          <w:sz w:val="18"/>
          <w:szCs w:val="18"/>
        </w:rPr>
        <w:t>Fig 4: KDE — fraud peaks at higher amounts</w:t>
      </w:r>
      <w:r w:rsidRPr="00353A4B">
        <w:t xml:space="preserve"> </w:t>
      </w:r>
    </w:p>
    <w:p w14:paraId="1545757B" w14:textId="77777777" w:rsidR="00353A4B" w:rsidRDefault="00353A4B" w:rsidP="00353A4B">
      <w:pPr>
        <w:jc w:val="center"/>
      </w:pPr>
    </w:p>
    <w:p w14:paraId="432B9B20" w14:textId="1E509A8A" w:rsidR="00353A4B" w:rsidRPr="00353A4B" w:rsidRDefault="00353A4B" w:rsidP="00353A4B">
      <w:pPr>
        <w:ind w:left="-851"/>
        <w:jc w:val="center"/>
      </w:pPr>
      <w:r w:rsidRPr="00353A4B">
        <w:t>•Traditional rule-based systems produce 20–30% false positives and miss 15–25% of fraud.</w:t>
      </w:r>
    </w:p>
    <w:p w14:paraId="7AEAFB81" w14:textId="2F26F59F" w:rsidR="00353A4B" w:rsidRPr="00353A4B" w:rsidRDefault="00353A4B" w:rsidP="00353A4B">
      <w:r w:rsidRPr="00353A4B">
        <w:t>•ML-based systems cut false positives to 5–15% and dramatically reduce missed fraud through continuous learning.</w:t>
      </w:r>
    </w:p>
    <w:p w14:paraId="23BF7EBF" w14:textId="77777777" w:rsidR="00353A4B" w:rsidRPr="00353A4B" w:rsidRDefault="00353A4B" w:rsidP="00353A4B">
      <w:r w:rsidRPr="00353A4B">
        <w:t> </w:t>
      </w:r>
    </w:p>
    <w:p w14:paraId="046E3B09" w14:textId="404E3192" w:rsidR="00353A4B" w:rsidRPr="00353A4B" w:rsidRDefault="00353A4B" w:rsidP="00353A4B">
      <w:pPr>
        <w:rPr>
          <w:b/>
          <w:bCs/>
          <w:sz w:val="28"/>
          <w:szCs w:val="28"/>
        </w:rPr>
      </w:pPr>
      <w:r w:rsidRPr="00353A4B">
        <w:rPr>
          <w:b/>
          <w:bCs/>
          <w:sz w:val="28"/>
          <w:szCs w:val="28"/>
        </w:rPr>
        <w:t>Methodology</w:t>
      </w:r>
    </w:p>
    <w:p w14:paraId="13DB6CFD" w14:textId="342097CC" w:rsidR="00353A4B" w:rsidRPr="00353A4B" w:rsidRDefault="00353A4B" w:rsidP="00353A4B">
      <w:pPr>
        <w:rPr>
          <w:b/>
          <w:bCs/>
          <w:i/>
          <w:iCs/>
          <w:sz w:val="24"/>
          <w:szCs w:val="24"/>
        </w:rPr>
      </w:pPr>
      <w:r w:rsidRPr="00353A4B">
        <w:rPr>
          <w:b/>
          <w:bCs/>
          <w:i/>
          <w:iCs/>
          <w:sz w:val="24"/>
          <w:szCs w:val="24"/>
        </w:rPr>
        <w:t>Preprocessing &amp; Resampling</w:t>
      </w:r>
    </w:p>
    <w:p w14:paraId="53703FE9" w14:textId="77777777" w:rsidR="00353A4B" w:rsidRDefault="00353A4B" w:rsidP="00353A4B">
      <w:pPr>
        <w:pStyle w:val="ListParagraph"/>
        <w:numPr>
          <w:ilvl w:val="0"/>
          <w:numId w:val="1"/>
        </w:numPr>
      </w:pPr>
      <w:proofErr w:type="spellStart"/>
      <w:r w:rsidRPr="00353A4B">
        <w:t>StandardScaler</w:t>
      </w:r>
      <w:proofErr w:type="spellEnd"/>
      <w:r w:rsidRPr="00353A4B">
        <w:t xml:space="preserve"> applied to Amount and Time — bringing them to the same scale as V1–V28.</w:t>
      </w:r>
      <w:r>
        <w:t xml:space="preserve"> </w:t>
      </w:r>
      <w:r w:rsidRPr="00353A4B">
        <w:t>80/20 stratified train-test split — preserving the 0.173% fraud rate in both sets.</w:t>
      </w:r>
    </w:p>
    <w:p w14:paraId="52925E4E" w14:textId="77777777" w:rsidR="00353A4B" w:rsidRDefault="00353A4B" w:rsidP="00353A4B">
      <w:pPr>
        <w:pStyle w:val="ListParagraph"/>
        <w:numPr>
          <w:ilvl w:val="0"/>
          <w:numId w:val="1"/>
        </w:numPr>
      </w:pPr>
      <w:r w:rsidRPr="00353A4B">
        <w:t>SMOTE (Synthetic Minority Oversampling): generates synthetic fraud examples by interpolating between real ones → 10:1 ratio.</w:t>
      </w:r>
    </w:p>
    <w:p w14:paraId="42BA4BBE" w14:textId="77777777" w:rsidR="00353A4B" w:rsidRDefault="00353A4B" w:rsidP="00353A4B">
      <w:pPr>
        <w:pStyle w:val="ListParagraph"/>
        <w:numPr>
          <w:ilvl w:val="0"/>
          <w:numId w:val="1"/>
        </w:numPr>
      </w:pPr>
      <w:r w:rsidRPr="00353A4B">
        <w:t xml:space="preserve">Random </w:t>
      </w:r>
      <w:proofErr w:type="spellStart"/>
      <w:r w:rsidRPr="00353A4B">
        <w:t>Undersampling</w:t>
      </w:r>
      <w:proofErr w:type="spellEnd"/>
      <w:r w:rsidRPr="00353A4B">
        <w:t>: reduces legitimate transactions → final 2:1 ratio for balanced training.</w:t>
      </w:r>
    </w:p>
    <w:p w14:paraId="528E4C42" w14:textId="03E6A7A6" w:rsidR="00353A4B" w:rsidRPr="00353A4B" w:rsidRDefault="00353A4B" w:rsidP="00353A4B">
      <w:pPr>
        <w:pStyle w:val="ListParagraph"/>
        <w:numPr>
          <w:ilvl w:val="0"/>
          <w:numId w:val="1"/>
        </w:numPr>
      </w:pPr>
      <w:r w:rsidRPr="00353A4B">
        <w:t>Critical: resampling applied to training data only — test set kept at real-world distribution.</w:t>
      </w:r>
    </w:p>
    <w:p w14:paraId="7F370EFC" w14:textId="77777777" w:rsidR="00353A4B" w:rsidRDefault="00353A4B" w:rsidP="00353A4B">
      <w:pPr>
        <w:rPr>
          <w:b/>
          <w:bCs/>
          <w:i/>
          <w:iCs/>
          <w:sz w:val="24"/>
          <w:szCs w:val="24"/>
        </w:rPr>
      </w:pPr>
    </w:p>
    <w:p w14:paraId="38106F78" w14:textId="7FF899F3" w:rsidR="00353A4B" w:rsidRPr="00353A4B" w:rsidRDefault="00353A4B" w:rsidP="00353A4B">
      <w:pPr>
        <w:rPr>
          <w:b/>
          <w:bCs/>
          <w:i/>
          <w:iCs/>
          <w:sz w:val="24"/>
          <w:szCs w:val="24"/>
        </w:rPr>
      </w:pPr>
      <w:r w:rsidRPr="00353A4B">
        <w:rPr>
          <w:b/>
          <w:bCs/>
          <w:i/>
          <w:iCs/>
          <w:sz w:val="24"/>
          <w:szCs w:val="24"/>
        </w:rPr>
        <w:lastRenderedPageBreak/>
        <w:t>Dual-Engine ML Framework</w:t>
      </w:r>
    </w:p>
    <w:tbl>
      <w:tblPr>
        <w:tblW w:w="9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5"/>
        <w:gridCol w:w="4789"/>
      </w:tblGrid>
      <w:tr w:rsidR="00353A4B" w14:paraId="41CE12EC" w14:textId="77777777" w:rsidTr="00353A4B">
        <w:tblPrEx>
          <w:tblCellMar>
            <w:top w:w="0" w:type="dxa"/>
            <w:bottom w:w="0" w:type="dxa"/>
          </w:tblCellMar>
        </w:tblPrEx>
        <w:trPr>
          <w:trHeight w:val="1636"/>
        </w:trPr>
        <w:tc>
          <w:tcPr>
            <w:tcW w:w="4715" w:type="dxa"/>
            <w:tcBorders>
              <w:top w:val="single" w:sz="4" w:space="0" w:color="2E75B6"/>
              <w:left w:val="single" w:sz="1" w:space="0" w:color="CCCCCC"/>
              <w:bottom w:val="single" w:sz="1" w:space="0" w:color="CCCCCC"/>
              <w:right w:val="single" w:sz="1" w:space="0" w:color="CCCCCC"/>
            </w:tcBorders>
            <w:shd w:val="clear" w:color="auto" w:fill="F0F6FF"/>
            <w:tcMar>
              <w:top w:w="100" w:type="dxa"/>
              <w:left w:w="120" w:type="dxa"/>
              <w:bottom w:w="100" w:type="dxa"/>
              <w:right w:w="120" w:type="dxa"/>
            </w:tcMar>
          </w:tcPr>
          <w:p w14:paraId="21753230" w14:textId="77777777" w:rsidR="00353A4B" w:rsidRDefault="00353A4B" w:rsidP="00A63456">
            <w:pPr>
              <w:spacing w:after="40"/>
            </w:pPr>
            <w:r>
              <w:rPr>
                <w:rFonts w:ascii="Calibri" w:eastAsia="Calibri" w:hAnsi="Calibri" w:cs="Calibri"/>
                <w:b/>
                <w:bCs/>
                <w:color w:val="2E75B6"/>
              </w:rPr>
              <w:t>Track A — K-Means Clustering</w:t>
            </w:r>
          </w:p>
          <w:p w14:paraId="28131EE0" w14:textId="77777777" w:rsidR="00353A4B" w:rsidRDefault="00353A4B" w:rsidP="00A63456">
            <w:pPr>
              <w:spacing w:after="30"/>
            </w:pPr>
            <w:r>
              <w:rPr>
                <w:rFonts w:ascii="Calibri" w:eastAsia="Calibri" w:hAnsi="Calibri" w:cs="Calibri"/>
                <w:i/>
                <w:iCs/>
                <w:color w:val="555555"/>
                <w:sz w:val="20"/>
                <w:szCs w:val="20"/>
              </w:rPr>
              <w:t>Unsupervised — no labels needed</w:t>
            </w:r>
          </w:p>
          <w:p w14:paraId="00943D23" w14:textId="77777777" w:rsidR="00353A4B" w:rsidRDefault="00353A4B" w:rsidP="00A63456">
            <w:pPr>
              <w:spacing w:after="30"/>
            </w:pPr>
            <w:r>
              <w:rPr>
                <w:rFonts w:ascii="Calibri" w:eastAsia="Calibri" w:hAnsi="Calibri" w:cs="Calibri"/>
                <w:sz w:val="20"/>
                <w:szCs w:val="20"/>
              </w:rPr>
              <w:t>Groups transactions into 2 clusters based on behavioural patterns. Flags unusual cluster as potentially fraudulent. Detects novel, never-before-seen fraud types.</w:t>
            </w:r>
          </w:p>
        </w:tc>
        <w:tc>
          <w:tcPr>
            <w:tcW w:w="4789" w:type="dxa"/>
            <w:tcBorders>
              <w:top w:val="single" w:sz="4" w:space="0" w:color="C0392B"/>
              <w:left w:val="single" w:sz="1" w:space="0" w:color="CCCCCC"/>
              <w:bottom w:val="single" w:sz="1" w:space="0" w:color="CCCCCC"/>
              <w:right w:val="single" w:sz="1" w:space="0" w:color="CCCCCC"/>
            </w:tcBorders>
            <w:shd w:val="clear" w:color="auto" w:fill="FFF5F5"/>
            <w:tcMar>
              <w:top w:w="100" w:type="dxa"/>
              <w:left w:w="120" w:type="dxa"/>
              <w:bottom w:w="100" w:type="dxa"/>
              <w:right w:w="120" w:type="dxa"/>
            </w:tcMar>
          </w:tcPr>
          <w:p w14:paraId="51FA1F50" w14:textId="77777777" w:rsidR="00353A4B" w:rsidRDefault="00353A4B" w:rsidP="00A63456">
            <w:pPr>
              <w:spacing w:after="40"/>
            </w:pPr>
            <w:r>
              <w:rPr>
                <w:rFonts w:ascii="Calibri" w:eastAsia="Calibri" w:hAnsi="Calibri" w:cs="Calibri"/>
                <w:b/>
                <w:bCs/>
                <w:color w:val="C0392B"/>
              </w:rPr>
              <w:t>Track B — Random Forest</w:t>
            </w:r>
          </w:p>
          <w:p w14:paraId="0390115D" w14:textId="77777777" w:rsidR="00353A4B" w:rsidRDefault="00353A4B" w:rsidP="00A63456">
            <w:pPr>
              <w:spacing w:after="30"/>
            </w:pPr>
            <w:r>
              <w:rPr>
                <w:rFonts w:ascii="Calibri" w:eastAsia="Calibri" w:hAnsi="Calibri" w:cs="Calibri"/>
                <w:i/>
                <w:iCs/>
                <w:color w:val="555555"/>
                <w:sz w:val="20"/>
                <w:szCs w:val="20"/>
              </w:rPr>
              <w:t>Supervised — 100 trees voting together</w:t>
            </w:r>
          </w:p>
          <w:p w14:paraId="48F6DECC" w14:textId="77777777" w:rsidR="00353A4B" w:rsidRDefault="00353A4B" w:rsidP="00A63456">
            <w:pPr>
              <w:spacing w:after="30"/>
            </w:pPr>
            <w:r>
              <w:rPr>
                <w:rFonts w:ascii="Calibri" w:eastAsia="Calibri" w:hAnsi="Calibri" w:cs="Calibri"/>
                <w:sz w:val="20"/>
                <w:szCs w:val="20"/>
              </w:rPr>
              <w:t xml:space="preserve">Trained on SMOTE-balanced data. Each tree learns fraud patterns independently; majority vote wins. Max depth 10, </w:t>
            </w:r>
            <w:proofErr w:type="spellStart"/>
            <w:r>
              <w:rPr>
                <w:rFonts w:ascii="Calibri" w:eastAsia="Calibri" w:hAnsi="Calibri" w:cs="Calibri"/>
                <w:sz w:val="20"/>
                <w:szCs w:val="20"/>
              </w:rPr>
              <w:t>n_jobs</w:t>
            </w:r>
            <w:proofErr w:type="spellEnd"/>
            <w:r>
              <w:rPr>
                <w:rFonts w:ascii="Calibri" w:eastAsia="Calibri" w:hAnsi="Calibri" w:cs="Calibri"/>
                <w:sz w:val="20"/>
                <w:szCs w:val="20"/>
              </w:rPr>
              <w:t>=-1 for parallel processing.</w:t>
            </w:r>
          </w:p>
        </w:tc>
      </w:tr>
    </w:tbl>
    <w:p w14:paraId="19DA0298" w14:textId="77777777" w:rsidR="00353A4B" w:rsidRPr="00353A4B" w:rsidRDefault="00353A4B" w:rsidP="00353A4B">
      <w:r w:rsidRPr="00353A4B">
        <w:t> </w:t>
      </w:r>
    </w:p>
    <w:p w14:paraId="5BA23DC2" w14:textId="277DDEB4" w:rsidR="00353A4B" w:rsidRPr="00353A4B" w:rsidRDefault="00353A4B" w:rsidP="00353A4B">
      <w:pPr>
        <w:rPr>
          <w:b/>
          <w:bCs/>
          <w:sz w:val="28"/>
          <w:szCs w:val="28"/>
        </w:rPr>
      </w:pPr>
      <w:r w:rsidRPr="00353A4B">
        <w:rPr>
          <w:b/>
          <w:bCs/>
          <w:sz w:val="28"/>
          <w:szCs w:val="28"/>
        </w:rPr>
        <w:t>Model Results</w:t>
      </w:r>
    </w:p>
    <w:p w14:paraId="7A2832AF" w14:textId="48E0036B" w:rsidR="00353A4B" w:rsidRPr="00353A4B" w:rsidRDefault="00353A4B" w:rsidP="00353A4B">
      <w:pPr>
        <w:rPr>
          <w:b/>
          <w:bCs/>
          <w:i/>
          <w:iCs/>
          <w:sz w:val="24"/>
          <w:szCs w:val="24"/>
        </w:rPr>
      </w:pPr>
      <w:r w:rsidRPr="00353A4B">
        <w:rPr>
          <w:b/>
          <w:bCs/>
          <w:i/>
          <w:iCs/>
          <w:sz w:val="24"/>
          <w:szCs w:val="24"/>
        </w:rPr>
        <w:t>Classification Metrics (Default Threshold 0.5)</w:t>
      </w:r>
    </w:p>
    <w:tbl>
      <w:tblPr>
        <w:tblW w:w="101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9"/>
        <w:gridCol w:w="2562"/>
        <w:gridCol w:w="2364"/>
        <w:gridCol w:w="1478"/>
        <w:gridCol w:w="1468"/>
      </w:tblGrid>
      <w:tr w:rsidR="00353A4B" w14:paraId="5F82E705" w14:textId="77777777" w:rsidTr="00353A4B">
        <w:tblPrEx>
          <w:tblCellMar>
            <w:top w:w="0" w:type="dxa"/>
            <w:bottom w:w="0" w:type="dxa"/>
          </w:tblCellMar>
        </w:tblPrEx>
        <w:trPr>
          <w:trHeight w:val="321"/>
          <w:jc w:val="center"/>
        </w:trPr>
        <w:tc>
          <w:tcPr>
            <w:tcW w:w="2319"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tcPr>
          <w:p w14:paraId="0E7E1DA5" w14:textId="77777777" w:rsidR="00353A4B" w:rsidRDefault="00353A4B" w:rsidP="00353A4B">
            <w:pPr>
              <w:jc w:val="center"/>
            </w:pPr>
            <w:r>
              <w:rPr>
                <w:rFonts w:ascii="Calibri" w:eastAsia="Calibri" w:hAnsi="Calibri" w:cs="Calibri"/>
                <w:b/>
                <w:bCs/>
                <w:color w:val="FFFFFF"/>
                <w:sz w:val="19"/>
                <w:szCs w:val="19"/>
              </w:rPr>
              <w:t>Metric</w:t>
            </w:r>
          </w:p>
        </w:tc>
        <w:tc>
          <w:tcPr>
            <w:tcW w:w="2562"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tcPr>
          <w:p w14:paraId="17440029" w14:textId="77777777" w:rsidR="00353A4B" w:rsidRDefault="00353A4B" w:rsidP="00353A4B">
            <w:pPr>
              <w:jc w:val="center"/>
            </w:pPr>
            <w:r>
              <w:rPr>
                <w:rFonts w:ascii="Calibri" w:eastAsia="Calibri" w:hAnsi="Calibri" w:cs="Calibri"/>
                <w:b/>
                <w:bCs/>
                <w:color w:val="FFFFFF"/>
                <w:sz w:val="19"/>
                <w:szCs w:val="19"/>
              </w:rPr>
              <w:t>Legitimate (0)</w:t>
            </w:r>
          </w:p>
        </w:tc>
        <w:tc>
          <w:tcPr>
            <w:tcW w:w="2364"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tcPr>
          <w:p w14:paraId="26C6E7BC" w14:textId="77777777" w:rsidR="00353A4B" w:rsidRDefault="00353A4B" w:rsidP="00353A4B">
            <w:pPr>
              <w:jc w:val="center"/>
            </w:pPr>
            <w:r>
              <w:rPr>
                <w:rFonts w:ascii="Calibri" w:eastAsia="Calibri" w:hAnsi="Calibri" w:cs="Calibri"/>
                <w:b/>
                <w:bCs/>
                <w:color w:val="FFFFFF"/>
                <w:sz w:val="19"/>
                <w:szCs w:val="19"/>
              </w:rPr>
              <w:t>Fraud (1)</w:t>
            </w:r>
          </w:p>
        </w:tc>
        <w:tc>
          <w:tcPr>
            <w:tcW w:w="1478"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tcPr>
          <w:p w14:paraId="37B4CBAC" w14:textId="77777777" w:rsidR="00353A4B" w:rsidRDefault="00353A4B" w:rsidP="00353A4B">
            <w:pPr>
              <w:jc w:val="center"/>
            </w:pPr>
            <w:r>
              <w:rPr>
                <w:rFonts w:ascii="Calibri" w:eastAsia="Calibri" w:hAnsi="Calibri" w:cs="Calibri"/>
                <w:b/>
                <w:bCs/>
                <w:color w:val="FFFFFF"/>
                <w:sz w:val="19"/>
                <w:szCs w:val="19"/>
              </w:rPr>
              <w:t xml:space="preserve">Macro </w:t>
            </w:r>
            <w:proofErr w:type="spellStart"/>
            <w:r>
              <w:rPr>
                <w:rFonts w:ascii="Calibri" w:eastAsia="Calibri" w:hAnsi="Calibri" w:cs="Calibri"/>
                <w:b/>
                <w:bCs/>
                <w:color w:val="FFFFFF"/>
                <w:sz w:val="19"/>
                <w:szCs w:val="19"/>
              </w:rPr>
              <w:t>Avg</w:t>
            </w:r>
            <w:proofErr w:type="spellEnd"/>
          </w:p>
        </w:tc>
        <w:tc>
          <w:tcPr>
            <w:tcW w:w="1468" w:type="dxa"/>
            <w:tcBorders>
              <w:top w:val="single" w:sz="1" w:space="0" w:color="CCCCCC"/>
              <w:left w:val="single" w:sz="1" w:space="0" w:color="CCCCCC"/>
              <w:bottom w:val="single" w:sz="1" w:space="0" w:color="CCCCCC"/>
              <w:right w:val="single" w:sz="1" w:space="0" w:color="CCCCCC"/>
            </w:tcBorders>
            <w:shd w:val="clear" w:color="auto" w:fill="1F3864"/>
            <w:tcMar>
              <w:top w:w="70" w:type="dxa"/>
              <w:left w:w="60" w:type="dxa"/>
              <w:bottom w:w="70" w:type="dxa"/>
              <w:right w:w="60" w:type="dxa"/>
            </w:tcMar>
          </w:tcPr>
          <w:p w14:paraId="2DF65E0D" w14:textId="6D010A32" w:rsidR="00353A4B" w:rsidRDefault="00353A4B" w:rsidP="00353A4B">
            <w:pPr>
              <w:jc w:val="center"/>
            </w:pPr>
            <w:r>
              <w:rPr>
                <w:rFonts w:ascii="Calibri" w:eastAsia="Calibri" w:hAnsi="Calibri" w:cs="Calibri"/>
                <w:b/>
                <w:bCs/>
                <w:color w:val="FFFFFF"/>
                <w:sz w:val="17"/>
                <w:szCs w:val="17"/>
              </w:rPr>
              <w:t>W</w:t>
            </w:r>
            <w:r>
              <w:rPr>
                <w:rFonts w:ascii="Calibri" w:eastAsia="Calibri" w:hAnsi="Calibri" w:cs="Calibri"/>
                <w:b/>
                <w:bCs/>
                <w:color w:val="FFFFFF"/>
                <w:sz w:val="17"/>
                <w:szCs w:val="17"/>
              </w:rPr>
              <w:t xml:space="preserve">t. </w:t>
            </w:r>
            <w:proofErr w:type="spellStart"/>
            <w:r>
              <w:rPr>
                <w:rFonts w:ascii="Calibri" w:eastAsia="Calibri" w:hAnsi="Calibri" w:cs="Calibri"/>
                <w:b/>
                <w:bCs/>
                <w:color w:val="FFFFFF"/>
                <w:sz w:val="17"/>
                <w:szCs w:val="17"/>
              </w:rPr>
              <w:t>Avg</w:t>
            </w:r>
            <w:proofErr w:type="spellEnd"/>
          </w:p>
        </w:tc>
      </w:tr>
      <w:tr w:rsidR="00353A4B" w14:paraId="7B92F44D" w14:textId="77777777" w:rsidTr="00353A4B">
        <w:tblPrEx>
          <w:tblCellMar>
            <w:top w:w="0" w:type="dxa"/>
            <w:bottom w:w="0" w:type="dxa"/>
          </w:tblCellMar>
        </w:tblPrEx>
        <w:trPr>
          <w:trHeight w:val="283"/>
          <w:jc w:val="center"/>
        </w:trPr>
        <w:tc>
          <w:tcPr>
            <w:tcW w:w="231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3BE5A3E7" w14:textId="7D5F4F4B" w:rsidR="00353A4B" w:rsidRDefault="00353A4B" w:rsidP="00353A4B">
            <w:pPr>
              <w:jc w:val="center"/>
            </w:pPr>
            <w:r>
              <w:rPr>
                <w:rFonts w:ascii="Calibri" w:eastAsia="Calibri" w:hAnsi="Calibri" w:cs="Calibri"/>
                <w:b/>
                <w:bCs/>
                <w:sz w:val="19"/>
                <w:szCs w:val="19"/>
              </w:rPr>
              <w:t>Precision</w:t>
            </w:r>
          </w:p>
        </w:tc>
        <w:tc>
          <w:tcPr>
            <w:tcW w:w="2562" w:type="dxa"/>
            <w:tcBorders>
              <w:top w:val="single" w:sz="1" w:space="0" w:color="CCCCCC"/>
              <w:left w:val="single" w:sz="1" w:space="0" w:color="CCCCCC"/>
              <w:bottom w:val="single" w:sz="1" w:space="0" w:color="CCCCCC"/>
              <w:right w:val="single" w:sz="1" w:space="0" w:color="CCCCCC"/>
            </w:tcBorders>
            <w:shd w:val="clear" w:color="auto" w:fill="FAFAFA"/>
            <w:tcMar>
              <w:top w:w="60" w:type="dxa"/>
              <w:left w:w="100" w:type="dxa"/>
              <w:bottom w:w="60" w:type="dxa"/>
              <w:right w:w="100" w:type="dxa"/>
            </w:tcMar>
          </w:tcPr>
          <w:p w14:paraId="73CD9CC5" w14:textId="77777777" w:rsidR="00353A4B" w:rsidRDefault="00353A4B" w:rsidP="00353A4B">
            <w:pPr>
              <w:jc w:val="center"/>
            </w:pPr>
            <w:r>
              <w:rPr>
                <w:rFonts w:ascii="Calibri" w:eastAsia="Calibri" w:hAnsi="Calibri" w:cs="Calibri"/>
                <w:sz w:val="19"/>
                <w:szCs w:val="19"/>
              </w:rPr>
              <w:t>99.96%</w:t>
            </w:r>
          </w:p>
        </w:tc>
        <w:tc>
          <w:tcPr>
            <w:tcW w:w="2364" w:type="dxa"/>
            <w:tcBorders>
              <w:top w:val="single" w:sz="1" w:space="0" w:color="CCCCCC"/>
              <w:left w:val="single" w:sz="1" w:space="0" w:color="CCCCCC"/>
              <w:bottom w:val="single" w:sz="1" w:space="0" w:color="CCCCCC"/>
              <w:right w:val="single" w:sz="1" w:space="0" w:color="CCCCCC"/>
            </w:tcBorders>
            <w:shd w:val="clear" w:color="auto" w:fill="FAFAFA"/>
            <w:tcMar>
              <w:top w:w="60" w:type="dxa"/>
              <w:left w:w="100" w:type="dxa"/>
              <w:bottom w:w="60" w:type="dxa"/>
              <w:right w:w="100" w:type="dxa"/>
            </w:tcMar>
          </w:tcPr>
          <w:p w14:paraId="32043930" w14:textId="77777777" w:rsidR="00353A4B" w:rsidRDefault="00353A4B" w:rsidP="00353A4B">
            <w:pPr>
              <w:jc w:val="center"/>
            </w:pPr>
            <w:r>
              <w:rPr>
                <w:rFonts w:ascii="Calibri" w:eastAsia="Calibri" w:hAnsi="Calibri" w:cs="Calibri"/>
                <w:sz w:val="19"/>
                <w:szCs w:val="19"/>
              </w:rPr>
              <w:t>94.12%</w:t>
            </w:r>
          </w:p>
        </w:tc>
        <w:tc>
          <w:tcPr>
            <w:tcW w:w="1478" w:type="dxa"/>
            <w:tcBorders>
              <w:top w:val="single" w:sz="1" w:space="0" w:color="CCCCCC"/>
              <w:left w:val="single" w:sz="1" w:space="0" w:color="CCCCCC"/>
              <w:bottom w:val="single" w:sz="1" w:space="0" w:color="CCCCCC"/>
              <w:right w:val="single" w:sz="1" w:space="0" w:color="CCCCCC"/>
            </w:tcBorders>
            <w:shd w:val="clear" w:color="auto" w:fill="FAFAFA"/>
            <w:tcMar>
              <w:top w:w="60" w:type="dxa"/>
              <w:left w:w="100" w:type="dxa"/>
              <w:bottom w:w="60" w:type="dxa"/>
              <w:right w:w="100" w:type="dxa"/>
            </w:tcMar>
          </w:tcPr>
          <w:p w14:paraId="6712B795" w14:textId="77777777" w:rsidR="00353A4B" w:rsidRDefault="00353A4B" w:rsidP="00353A4B">
            <w:pPr>
              <w:jc w:val="center"/>
            </w:pPr>
            <w:r>
              <w:rPr>
                <w:rFonts w:ascii="Calibri" w:eastAsia="Calibri" w:hAnsi="Calibri" w:cs="Calibri"/>
                <w:sz w:val="19"/>
                <w:szCs w:val="19"/>
              </w:rPr>
              <w:t>97.04%</w:t>
            </w:r>
          </w:p>
        </w:tc>
        <w:tc>
          <w:tcPr>
            <w:tcW w:w="1468" w:type="dxa"/>
            <w:tcBorders>
              <w:top w:val="single" w:sz="1" w:space="0" w:color="CCCCCC"/>
              <w:left w:val="single" w:sz="1" w:space="0" w:color="CCCCCC"/>
              <w:bottom w:val="single" w:sz="1" w:space="0" w:color="CCCCCC"/>
              <w:right w:val="single" w:sz="1" w:space="0" w:color="CCCCCC"/>
            </w:tcBorders>
            <w:shd w:val="clear" w:color="auto" w:fill="FAFAFA"/>
            <w:tcMar>
              <w:top w:w="60" w:type="dxa"/>
              <w:left w:w="100" w:type="dxa"/>
              <w:bottom w:w="60" w:type="dxa"/>
              <w:right w:w="100" w:type="dxa"/>
            </w:tcMar>
          </w:tcPr>
          <w:p w14:paraId="5419C477" w14:textId="77777777" w:rsidR="00353A4B" w:rsidRDefault="00353A4B" w:rsidP="00353A4B">
            <w:pPr>
              <w:jc w:val="center"/>
            </w:pPr>
            <w:r>
              <w:rPr>
                <w:rFonts w:ascii="Calibri" w:eastAsia="Calibri" w:hAnsi="Calibri" w:cs="Calibri"/>
                <w:sz w:val="19"/>
                <w:szCs w:val="19"/>
              </w:rPr>
              <w:t>99.95%</w:t>
            </w:r>
          </w:p>
        </w:tc>
      </w:tr>
      <w:tr w:rsidR="00353A4B" w14:paraId="7AAB5865" w14:textId="77777777" w:rsidTr="00353A4B">
        <w:tblPrEx>
          <w:tblCellMar>
            <w:top w:w="0" w:type="dxa"/>
            <w:bottom w:w="0" w:type="dxa"/>
          </w:tblCellMar>
        </w:tblPrEx>
        <w:trPr>
          <w:trHeight w:val="23"/>
          <w:jc w:val="center"/>
        </w:trPr>
        <w:tc>
          <w:tcPr>
            <w:tcW w:w="231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4FB31D77" w14:textId="77777777" w:rsidR="00353A4B" w:rsidRDefault="00353A4B" w:rsidP="00353A4B">
            <w:pPr>
              <w:jc w:val="center"/>
            </w:pPr>
            <w:r>
              <w:rPr>
                <w:rFonts w:ascii="Calibri" w:eastAsia="Calibri" w:hAnsi="Calibri" w:cs="Calibri"/>
                <w:b/>
                <w:bCs/>
                <w:sz w:val="19"/>
                <w:szCs w:val="19"/>
              </w:rPr>
              <w:t>Recall</w:t>
            </w:r>
          </w:p>
        </w:tc>
        <w:tc>
          <w:tcPr>
            <w:tcW w:w="256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7E42DC" w14:textId="77777777" w:rsidR="00353A4B" w:rsidRDefault="00353A4B" w:rsidP="00353A4B">
            <w:pPr>
              <w:jc w:val="center"/>
            </w:pPr>
            <w:r>
              <w:rPr>
                <w:rFonts w:ascii="Calibri" w:eastAsia="Calibri" w:hAnsi="Calibri" w:cs="Calibri"/>
                <w:sz w:val="19"/>
                <w:szCs w:val="19"/>
              </w:rPr>
              <w:t>99.99%</w:t>
            </w:r>
          </w:p>
        </w:tc>
        <w:tc>
          <w:tcPr>
            <w:tcW w:w="236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D7C996" w14:textId="77777777" w:rsidR="00353A4B" w:rsidRDefault="00353A4B" w:rsidP="00353A4B">
            <w:pPr>
              <w:jc w:val="center"/>
            </w:pPr>
            <w:r>
              <w:rPr>
                <w:rFonts w:ascii="Calibri" w:eastAsia="Calibri" w:hAnsi="Calibri" w:cs="Calibri"/>
                <w:sz w:val="19"/>
                <w:szCs w:val="19"/>
              </w:rPr>
              <w:t>80.00%</w:t>
            </w:r>
          </w:p>
        </w:tc>
        <w:tc>
          <w:tcPr>
            <w:tcW w:w="14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5D6D43" w14:textId="20443DC3" w:rsidR="00353A4B" w:rsidRDefault="00353A4B" w:rsidP="00353A4B">
            <w:pPr>
              <w:jc w:val="center"/>
            </w:pPr>
            <w:r>
              <w:rPr>
                <w:rFonts w:ascii="Calibri" w:eastAsia="Calibri" w:hAnsi="Calibri" w:cs="Calibri"/>
                <w:sz w:val="19"/>
                <w:szCs w:val="19"/>
              </w:rPr>
              <w:t>89.99%</w:t>
            </w:r>
          </w:p>
        </w:tc>
        <w:tc>
          <w:tcPr>
            <w:tcW w:w="14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35813A" w14:textId="77777777" w:rsidR="00353A4B" w:rsidRDefault="00353A4B" w:rsidP="00353A4B">
            <w:pPr>
              <w:jc w:val="center"/>
            </w:pPr>
            <w:r>
              <w:rPr>
                <w:rFonts w:ascii="Calibri" w:eastAsia="Calibri" w:hAnsi="Calibri" w:cs="Calibri"/>
                <w:sz w:val="19"/>
                <w:szCs w:val="19"/>
              </w:rPr>
              <w:t>99.95%</w:t>
            </w:r>
          </w:p>
        </w:tc>
      </w:tr>
      <w:tr w:rsidR="00353A4B" w14:paraId="13E3F566" w14:textId="77777777" w:rsidTr="00353A4B">
        <w:tblPrEx>
          <w:tblCellMar>
            <w:top w:w="0" w:type="dxa"/>
            <w:bottom w:w="0" w:type="dxa"/>
          </w:tblCellMar>
        </w:tblPrEx>
        <w:trPr>
          <w:trHeight w:val="294"/>
          <w:jc w:val="center"/>
        </w:trPr>
        <w:tc>
          <w:tcPr>
            <w:tcW w:w="231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A6B2217" w14:textId="77777777" w:rsidR="00353A4B" w:rsidRDefault="00353A4B" w:rsidP="00353A4B">
            <w:pPr>
              <w:jc w:val="center"/>
            </w:pPr>
            <w:r>
              <w:rPr>
                <w:rFonts w:ascii="Calibri" w:eastAsia="Calibri" w:hAnsi="Calibri" w:cs="Calibri"/>
                <w:b/>
                <w:bCs/>
                <w:sz w:val="19"/>
                <w:szCs w:val="19"/>
              </w:rPr>
              <w:t>F1-Score</w:t>
            </w:r>
          </w:p>
        </w:tc>
        <w:tc>
          <w:tcPr>
            <w:tcW w:w="2562" w:type="dxa"/>
            <w:tcBorders>
              <w:top w:val="single" w:sz="1" w:space="0" w:color="CCCCCC"/>
              <w:left w:val="single" w:sz="1" w:space="0" w:color="CCCCCC"/>
              <w:bottom w:val="single" w:sz="1" w:space="0" w:color="CCCCCC"/>
              <w:right w:val="single" w:sz="1" w:space="0" w:color="CCCCCC"/>
            </w:tcBorders>
            <w:shd w:val="clear" w:color="auto" w:fill="FAFAFA"/>
            <w:tcMar>
              <w:top w:w="60" w:type="dxa"/>
              <w:left w:w="100" w:type="dxa"/>
              <w:bottom w:w="60" w:type="dxa"/>
              <w:right w:w="100" w:type="dxa"/>
            </w:tcMar>
          </w:tcPr>
          <w:p w14:paraId="1B078887" w14:textId="77777777" w:rsidR="00353A4B" w:rsidRDefault="00353A4B" w:rsidP="00353A4B">
            <w:pPr>
              <w:jc w:val="center"/>
            </w:pPr>
            <w:r>
              <w:rPr>
                <w:rFonts w:ascii="Calibri" w:eastAsia="Calibri" w:hAnsi="Calibri" w:cs="Calibri"/>
                <w:sz w:val="19"/>
                <w:szCs w:val="19"/>
              </w:rPr>
              <w:t>99.97%</w:t>
            </w:r>
          </w:p>
        </w:tc>
        <w:tc>
          <w:tcPr>
            <w:tcW w:w="2364" w:type="dxa"/>
            <w:tcBorders>
              <w:top w:val="single" w:sz="1" w:space="0" w:color="CCCCCC"/>
              <w:left w:val="single" w:sz="1" w:space="0" w:color="CCCCCC"/>
              <w:bottom w:val="single" w:sz="1" w:space="0" w:color="CCCCCC"/>
              <w:right w:val="single" w:sz="1" w:space="0" w:color="CCCCCC"/>
            </w:tcBorders>
            <w:shd w:val="clear" w:color="auto" w:fill="FAFAFA"/>
            <w:tcMar>
              <w:top w:w="60" w:type="dxa"/>
              <w:left w:w="100" w:type="dxa"/>
              <w:bottom w:w="60" w:type="dxa"/>
              <w:right w:w="100" w:type="dxa"/>
            </w:tcMar>
          </w:tcPr>
          <w:p w14:paraId="0B0D510D" w14:textId="12663ED6" w:rsidR="00353A4B" w:rsidRDefault="00353A4B" w:rsidP="00353A4B">
            <w:pPr>
              <w:jc w:val="center"/>
            </w:pPr>
            <w:r>
              <w:rPr>
                <w:rFonts w:ascii="Calibri" w:eastAsia="Calibri" w:hAnsi="Calibri" w:cs="Calibri"/>
                <w:sz w:val="19"/>
                <w:szCs w:val="19"/>
              </w:rPr>
              <w:t>86.49%</w:t>
            </w:r>
          </w:p>
        </w:tc>
        <w:tc>
          <w:tcPr>
            <w:tcW w:w="1478" w:type="dxa"/>
            <w:tcBorders>
              <w:top w:val="single" w:sz="1" w:space="0" w:color="CCCCCC"/>
              <w:left w:val="single" w:sz="1" w:space="0" w:color="CCCCCC"/>
              <w:bottom w:val="single" w:sz="1" w:space="0" w:color="CCCCCC"/>
              <w:right w:val="single" w:sz="1" w:space="0" w:color="CCCCCC"/>
            </w:tcBorders>
            <w:shd w:val="clear" w:color="auto" w:fill="FAFAFA"/>
            <w:tcMar>
              <w:top w:w="60" w:type="dxa"/>
              <w:left w:w="100" w:type="dxa"/>
              <w:bottom w:w="60" w:type="dxa"/>
              <w:right w:w="100" w:type="dxa"/>
            </w:tcMar>
          </w:tcPr>
          <w:p w14:paraId="18EB276F" w14:textId="77777777" w:rsidR="00353A4B" w:rsidRDefault="00353A4B" w:rsidP="00353A4B">
            <w:pPr>
              <w:jc w:val="center"/>
            </w:pPr>
            <w:r>
              <w:rPr>
                <w:rFonts w:ascii="Calibri" w:eastAsia="Calibri" w:hAnsi="Calibri" w:cs="Calibri"/>
                <w:sz w:val="19"/>
                <w:szCs w:val="19"/>
              </w:rPr>
              <w:t>93.23%</w:t>
            </w:r>
          </w:p>
        </w:tc>
        <w:tc>
          <w:tcPr>
            <w:tcW w:w="1468" w:type="dxa"/>
            <w:tcBorders>
              <w:top w:val="single" w:sz="1" w:space="0" w:color="CCCCCC"/>
              <w:left w:val="single" w:sz="1" w:space="0" w:color="CCCCCC"/>
              <w:bottom w:val="single" w:sz="1" w:space="0" w:color="CCCCCC"/>
              <w:right w:val="single" w:sz="1" w:space="0" w:color="CCCCCC"/>
            </w:tcBorders>
            <w:shd w:val="clear" w:color="auto" w:fill="FAFAFA"/>
            <w:tcMar>
              <w:top w:w="60" w:type="dxa"/>
              <w:left w:w="100" w:type="dxa"/>
              <w:bottom w:w="60" w:type="dxa"/>
              <w:right w:w="100" w:type="dxa"/>
            </w:tcMar>
          </w:tcPr>
          <w:p w14:paraId="10547A49" w14:textId="77777777" w:rsidR="00353A4B" w:rsidRDefault="00353A4B" w:rsidP="00353A4B">
            <w:pPr>
              <w:jc w:val="center"/>
            </w:pPr>
            <w:r>
              <w:rPr>
                <w:rFonts w:ascii="Calibri" w:eastAsia="Calibri" w:hAnsi="Calibri" w:cs="Calibri"/>
                <w:sz w:val="19"/>
                <w:szCs w:val="19"/>
              </w:rPr>
              <w:t>99.95%</w:t>
            </w:r>
          </w:p>
        </w:tc>
      </w:tr>
      <w:tr w:rsidR="00353A4B" w14:paraId="7DCD1CC8" w14:textId="77777777" w:rsidTr="00353A4B">
        <w:tblPrEx>
          <w:tblCellMar>
            <w:top w:w="0" w:type="dxa"/>
            <w:bottom w:w="0" w:type="dxa"/>
          </w:tblCellMar>
        </w:tblPrEx>
        <w:trPr>
          <w:trHeight w:val="233"/>
          <w:jc w:val="center"/>
        </w:trPr>
        <w:tc>
          <w:tcPr>
            <w:tcW w:w="231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2B4A0A58" w14:textId="77777777" w:rsidR="00353A4B" w:rsidRDefault="00353A4B" w:rsidP="00353A4B">
            <w:pPr>
              <w:jc w:val="center"/>
            </w:pPr>
            <w:r>
              <w:rPr>
                <w:rFonts w:ascii="Calibri" w:eastAsia="Calibri" w:hAnsi="Calibri" w:cs="Calibri"/>
                <w:b/>
                <w:bCs/>
                <w:sz w:val="19"/>
                <w:szCs w:val="19"/>
              </w:rPr>
              <w:t>Support</w:t>
            </w:r>
          </w:p>
        </w:tc>
        <w:tc>
          <w:tcPr>
            <w:tcW w:w="256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7BA5F6" w14:textId="77777777" w:rsidR="00353A4B" w:rsidRDefault="00353A4B" w:rsidP="00353A4B">
            <w:pPr>
              <w:jc w:val="center"/>
            </w:pPr>
            <w:r>
              <w:rPr>
                <w:rFonts w:ascii="Calibri" w:eastAsia="Calibri" w:hAnsi="Calibri" w:cs="Calibri"/>
                <w:sz w:val="19"/>
                <w:szCs w:val="19"/>
              </w:rPr>
              <w:t>9,980</w:t>
            </w:r>
          </w:p>
        </w:tc>
        <w:tc>
          <w:tcPr>
            <w:tcW w:w="236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9ABFF5" w14:textId="52DC6FE6" w:rsidR="00353A4B" w:rsidRDefault="00353A4B" w:rsidP="00353A4B">
            <w:pPr>
              <w:jc w:val="center"/>
            </w:pPr>
            <w:r>
              <w:rPr>
                <w:rFonts w:ascii="Calibri" w:eastAsia="Calibri" w:hAnsi="Calibri" w:cs="Calibri"/>
                <w:sz w:val="19"/>
                <w:szCs w:val="19"/>
              </w:rPr>
              <w:t>20</w:t>
            </w:r>
          </w:p>
        </w:tc>
        <w:tc>
          <w:tcPr>
            <w:tcW w:w="14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C301EF" w14:textId="77777777" w:rsidR="00353A4B" w:rsidRDefault="00353A4B" w:rsidP="00353A4B">
            <w:pPr>
              <w:jc w:val="center"/>
            </w:pPr>
            <w:r>
              <w:rPr>
                <w:rFonts w:ascii="Calibri" w:eastAsia="Calibri" w:hAnsi="Calibri" w:cs="Calibri"/>
                <w:sz w:val="19"/>
                <w:szCs w:val="19"/>
              </w:rPr>
              <w:t>10,000</w:t>
            </w:r>
          </w:p>
        </w:tc>
        <w:tc>
          <w:tcPr>
            <w:tcW w:w="14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2DDEE7" w14:textId="77777777" w:rsidR="00353A4B" w:rsidRDefault="00353A4B" w:rsidP="00353A4B">
            <w:pPr>
              <w:jc w:val="center"/>
            </w:pPr>
            <w:r>
              <w:rPr>
                <w:rFonts w:ascii="Calibri" w:eastAsia="Calibri" w:hAnsi="Calibri" w:cs="Calibri"/>
                <w:sz w:val="19"/>
                <w:szCs w:val="19"/>
              </w:rPr>
              <w:t>10,000</w:t>
            </w:r>
          </w:p>
        </w:tc>
      </w:tr>
    </w:tbl>
    <w:p w14:paraId="527DE862" w14:textId="09C50718" w:rsidR="00353A4B" w:rsidRPr="00353A4B" w:rsidRDefault="00353A4B" w:rsidP="00353A4B"/>
    <w:p w14:paraId="4348E6DF" w14:textId="5C06D7DA" w:rsidR="00353A4B" w:rsidRPr="00353A4B" w:rsidRDefault="00353A4B" w:rsidP="00353A4B">
      <w:pPr>
        <w:rPr>
          <w:b/>
          <w:bCs/>
          <w:i/>
          <w:iCs/>
          <w:sz w:val="24"/>
          <w:szCs w:val="24"/>
        </w:rPr>
      </w:pPr>
      <w:r w:rsidRPr="00353A4B">
        <w:rPr>
          <w:b/>
          <w:bCs/>
          <w:i/>
          <w:iCs/>
          <w:sz w:val="24"/>
          <w:szCs w:val="24"/>
        </w:rPr>
        <w:t>Confusion Matrix &amp; ROC Curve</w:t>
      </w:r>
    </w:p>
    <w:tbl>
      <w:tblPr>
        <w:tblW w:w="96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997"/>
        <w:gridCol w:w="4644"/>
      </w:tblGrid>
      <w:tr w:rsidR="00353A4B" w14:paraId="58AB4ACF" w14:textId="08757056" w:rsidTr="00353A4B">
        <w:tblPrEx>
          <w:tblCellMar>
            <w:top w:w="0" w:type="dxa"/>
            <w:bottom w:w="0" w:type="dxa"/>
          </w:tblCellMar>
        </w:tblPrEx>
        <w:trPr>
          <w:trHeight w:val="1461"/>
        </w:trPr>
        <w:tc>
          <w:tcPr>
            <w:tcW w:w="4997" w:type="dxa"/>
          </w:tcPr>
          <w:p w14:paraId="2D3EBF52" w14:textId="1504DC50" w:rsidR="00353A4B" w:rsidRDefault="00353A4B" w:rsidP="00A63456">
            <w:pPr>
              <w:spacing w:before="80" w:after="40"/>
              <w:jc w:val="center"/>
            </w:pPr>
            <w:r w:rsidRPr="00353A4B">
              <w:t xml:space="preserve"> </w:t>
            </w:r>
            <w:r>
              <w:rPr>
                <w:noProof/>
              </w:rPr>
              <w:drawing>
                <wp:inline distT="0" distB="0" distL="0" distR="0" wp14:anchorId="3E61C60F" wp14:editId="59B0A984">
                  <wp:extent cx="2465387" cy="1752022"/>
                  <wp:effectExtent l="0" t="0" r="0" b="635"/>
                  <wp:docPr id="1704433517" name="Picture 1704433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482242" cy="1764000"/>
                          </a:xfrm>
                          <a:prstGeom prst="rect">
                            <a:avLst/>
                          </a:prstGeom>
                        </pic:spPr>
                      </pic:pic>
                    </a:graphicData>
                  </a:graphic>
                </wp:inline>
              </w:drawing>
            </w:r>
          </w:p>
          <w:p w14:paraId="5B3E82F5" w14:textId="77777777" w:rsidR="00353A4B" w:rsidRDefault="00353A4B" w:rsidP="00A63456">
            <w:pPr>
              <w:spacing w:after="120"/>
              <w:jc w:val="center"/>
            </w:pPr>
            <w:r>
              <w:rPr>
                <w:rFonts w:ascii="Calibri" w:eastAsia="Calibri" w:hAnsi="Calibri" w:cs="Calibri"/>
                <w:i/>
                <w:iCs/>
                <w:color w:val="666666"/>
                <w:sz w:val="18"/>
                <w:szCs w:val="18"/>
              </w:rPr>
              <w:t>Fig 6: Confusion matrix — TN=9,977 | FP=3 | FN=4 | TP=16</w:t>
            </w:r>
          </w:p>
        </w:tc>
        <w:tc>
          <w:tcPr>
            <w:tcW w:w="4644" w:type="dxa"/>
          </w:tcPr>
          <w:p w14:paraId="33E17D2F" w14:textId="77777777" w:rsidR="00353A4B" w:rsidRDefault="00353A4B" w:rsidP="00353A4B">
            <w:pPr>
              <w:spacing w:before="80" w:after="40"/>
              <w:jc w:val="center"/>
              <w:rPr>
                <w:rFonts w:ascii="Calibri" w:eastAsia="Calibri" w:hAnsi="Calibri" w:cs="Calibri"/>
                <w:i/>
                <w:iCs/>
                <w:color w:val="666666"/>
                <w:sz w:val="18"/>
                <w:szCs w:val="18"/>
              </w:rPr>
            </w:pPr>
            <w:r>
              <w:rPr>
                <w:noProof/>
              </w:rPr>
              <w:drawing>
                <wp:inline distT="0" distB="0" distL="0" distR="0" wp14:anchorId="5C7F0839" wp14:editId="2B0020E6">
                  <wp:extent cx="2579743" cy="1717964"/>
                  <wp:effectExtent l="0" t="0" r="0" b="0"/>
                  <wp:docPr id="1266215187" name="Picture 1266215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591949" cy="1726092"/>
                          </a:xfrm>
                          <a:prstGeom prst="rect">
                            <a:avLst/>
                          </a:prstGeom>
                        </pic:spPr>
                      </pic:pic>
                    </a:graphicData>
                  </a:graphic>
                </wp:inline>
              </w:drawing>
            </w:r>
          </w:p>
          <w:p w14:paraId="1C633929" w14:textId="6C8C46A5" w:rsidR="00353A4B" w:rsidRPr="00353A4B" w:rsidRDefault="00353A4B" w:rsidP="00353A4B">
            <w:pPr>
              <w:spacing w:before="80" w:after="40"/>
              <w:jc w:val="center"/>
            </w:pPr>
            <w:r>
              <w:rPr>
                <w:rFonts w:ascii="Calibri" w:eastAsia="Calibri" w:hAnsi="Calibri" w:cs="Calibri"/>
                <w:i/>
                <w:iCs/>
                <w:color w:val="666666"/>
                <w:sz w:val="18"/>
                <w:szCs w:val="18"/>
              </w:rPr>
              <w:t>Fig 7: ROC Curve — AUC = 0.9993 (near perfect)</w:t>
            </w:r>
          </w:p>
        </w:tc>
      </w:tr>
    </w:tbl>
    <w:p w14:paraId="21EB7AD0" w14:textId="77777777" w:rsidR="00353A4B" w:rsidRDefault="00353A4B" w:rsidP="00353A4B"/>
    <w:p w14:paraId="44CD1306" w14:textId="77777777" w:rsidR="00353A4B" w:rsidRDefault="00353A4B" w:rsidP="00353A4B">
      <w:pPr>
        <w:pStyle w:val="ListParagraph"/>
        <w:numPr>
          <w:ilvl w:val="0"/>
          <w:numId w:val="2"/>
        </w:numPr>
        <w:spacing w:before="30" w:after="30" w:line="240" w:lineRule="auto"/>
        <w:contextualSpacing w:val="0"/>
      </w:pPr>
      <w:r>
        <w:rPr>
          <w:rFonts w:ascii="Calibri" w:eastAsia="Calibri" w:hAnsi="Calibri" w:cs="Calibri"/>
          <w:sz w:val="21"/>
          <w:szCs w:val="21"/>
        </w:rPr>
        <w:t>Confusion Matrix (Fig 6): Caught 16 of 20 frauds. Only 3 innocent customers wrongly blocked. 4 fraud cases missed.</w:t>
      </w:r>
    </w:p>
    <w:p w14:paraId="0A5FAAC5" w14:textId="77777777" w:rsidR="00353A4B" w:rsidRDefault="00353A4B" w:rsidP="00353A4B">
      <w:pPr>
        <w:pStyle w:val="ListParagraph"/>
        <w:numPr>
          <w:ilvl w:val="0"/>
          <w:numId w:val="2"/>
        </w:numPr>
        <w:spacing w:before="30" w:after="30" w:line="240" w:lineRule="auto"/>
        <w:contextualSpacing w:val="0"/>
      </w:pPr>
      <w:r>
        <w:rPr>
          <w:rFonts w:ascii="Calibri" w:eastAsia="Calibri" w:hAnsi="Calibri" w:cs="Calibri"/>
          <w:sz w:val="21"/>
          <w:szCs w:val="21"/>
        </w:rPr>
        <w:t>ROC Curve (Fig 7): AUC = 0.9993 — the curve hugs the top-left corner, meaning the model almost perfectly ranks fraud above legitimate transactions at every possible threshold.</w:t>
      </w:r>
    </w:p>
    <w:p w14:paraId="1326F606" w14:textId="77777777" w:rsidR="00353A4B" w:rsidRDefault="00353A4B" w:rsidP="00353A4B">
      <w:r>
        <w:br w:type="page"/>
      </w:r>
    </w:p>
    <w:p w14:paraId="3CAFF169" w14:textId="77777777" w:rsidR="00353A4B" w:rsidRDefault="00353A4B" w:rsidP="00353A4B"/>
    <w:p w14:paraId="048E6AB0" w14:textId="34E7210B" w:rsidR="00353A4B" w:rsidRPr="00353A4B" w:rsidRDefault="00353A4B" w:rsidP="00353A4B">
      <w:pPr>
        <w:rPr>
          <w:b/>
          <w:bCs/>
          <w:sz w:val="28"/>
          <w:szCs w:val="28"/>
        </w:rPr>
      </w:pPr>
      <w:r w:rsidRPr="00353A4B">
        <w:rPr>
          <w:b/>
          <w:bCs/>
          <w:sz w:val="28"/>
          <w:szCs w:val="28"/>
        </w:rPr>
        <w:t>Feature Analysis &amp; Threshold Optimisation</w:t>
      </w:r>
    </w:p>
    <w:p w14:paraId="669F8EAB" w14:textId="7C08D322" w:rsidR="00353A4B" w:rsidRPr="00353A4B" w:rsidRDefault="00353A4B" w:rsidP="00353A4B">
      <w:pPr>
        <w:rPr>
          <w:b/>
          <w:bCs/>
          <w:i/>
          <w:iCs/>
          <w:sz w:val="24"/>
          <w:szCs w:val="24"/>
        </w:rPr>
      </w:pPr>
      <w:r w:rsidRPr="00353A4B">
        <w:rPr>
          <w:b/>
          <w:bCs/>
          <w:i/>
          <w:iCs/>
          <w:sz w:val="24"/>
          <w:szCs w:val="24"/>
        </w:rPr>
        <w:t>Feature Importance</w:t>
      </w:r>
    </w:p>
    <w:tbl>
      <w:tblPr>
        <w:tblStyle w:val="TableGrid"/>
        <w:tblW w:w="0" w:type="auto"/>
        <w:jc w:val="center"/>
        <w:tblLook w:val="04A0" w:firstRow="1" w:lastRow="0" w:firstColumn="1" w:lastColumn="0" w:noHBand="0" w:noVBand="1"/>
      </w:tblPr>
      <w:tblGrid>
        <w:gridCol w:w="7986"/>
      </w:tblGrid>
      <w:tr w:rsidR="00353A4B" w:rsidRPr="00353A4B" w14:paraId="07872553" w14:textId="77777777" w:rsidTr="00353A4B">
        <w:trPr>
          <w:jc w:val="center"/>
        </w:trPr>
        <w:tc>
          <w:tcPr>
            <w:tcW w:w="0" w:type="auto"/>
          </w:tcPr>
          <w:p w14:paraId="532F31DC" w14:textId="77777777" w:rsidR="00353A4B" w:rsidRDefault="00353A4B" w:rsidP="00AF38DF">
            <w:r w:rsidRPr="00353A4B">
              <w:rPr>
                <w:noProof/>
              </w:rPr>
              <w:drawing>
                <wp:inline distT="0" distB="0" distL="0" distR="0" wp14:anchorId="66AF8B43" wp14:editId="777E6653">
                  <wp:extent cx="4933950" cy="2838450"/>
                  <wp:effectExtent l="0" t="0" r="0" b="0"/>
                  <wp:docPr id="1305779490" name="Picture 1305779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33950" cy="2838450"/>
                          </a:xfrm>
                          <a:prstGeom prst="rect">
                            <a:avLst/>
                          </a:prstGeom>
                        </pic:spPr>
                      </pic:pic>
                    </a:graphicData>
                  </a:graphic>
                </wp:inline>
              </w:drawing>
            </w:r>
          </w:p>
          <w:p w14:paraId="69AF5CC7" w14:textId="54989FCF" w:rsidR="00353A4B" w:rsidRPr="00353A4B" w:rsidRDefault="00353A4B" w:rsidP="00353A4B">
            <w:pPr>
              <w:jc w:val="center"/>
            </w:pPr>
            <w:r>
              <w:rPr>
                <w:rFonts w:ascii="Calibri" w:eastAsia="Calibri" w:hAnsi="Calibri" w:cs="Calibri"/>
                <w:i/>
                <w:iCs/>
                <w:color w:val="666666"/>
                <w:sz w:val="18"/>
                <w:szCs w:val="18"/>
              </w:rPr>
              <w:t>Fig 8: Top feature importances — V1 &amp; V2 dominate</w:t>
            </w:r>
          </w:p>
        </w:tc>
      </w:tr>
    </w:tbl>
    <w:p w14:paraId="72DD052B" w14:textId="77777777" w:rsidR="00353A4B" w:rsidRDefault="00353A4B" w:rsidP="00353A4B">
      <w:pPr>
        <w:spacing w:before="60" w:after="40"/>
        <w:rPr>
          <w:rFonts w:ascii="Calibri" w:eastAsia="Calibri" w:hAnsi="Calibri"/>
          <w:b/>
          <w:bCs/>
          <w:i/>
          <w:iCs/>
          <w:color w:val="000000" w:themeColor="text1"/>
          <w:sz w:val="24"/>
          <w:szCs w:val="24"/>
        </w:rPr>
      </w:pPr>
    </w:p>
    <w:p w14:paraId="70BCD996" w14:textId="48229C8F" w:rsidR="00353A4B" w:rsidRPr="00353A4B" w:rsidRDefault="00353A4B" w:rsidP="00353A4B">
      <w:pPr>
        <w:spacing w:before="60" w:after="40"/>
        <w:rPr>
          <w:rFonts w:cstheme="minorHAnsi"/>
          <w:b/>
          <w:bCs/>
          <w:i/>
          <w:iCs/>
          <w:color w:val="000000" w:themeColor="text1"/>
          <w:sz w:val="24"/>
          <w:szCs w:val="24"/>
        </w:rPr>
      </w:pPr>
      <w:r w:rsidRPr="00353A4B">
        <w:rPr>
          <w:rFonts w:eastAsia="Calibri" w:cstheme="minorHAnsi"/>
          <w:b/>
          <w:bCs/>
          <w:i/>
          <w:iCs/>
          <w:color w:val="000000" w:themeColor="text1"/>
          <w:sz w:val="24"/>
          <w:szCs w:val="24"/>
        </w:rPr>
        <w:t xml:space="preserve">Key </w:t>
      </w:r>
      <w:r w:rsidRPr="00353A4B">
        <w:rPr>
          <w:rFonts w:eastAsia="Calibri" w:cstheme="minorHAnsi"/>
          <w:b/>
          <w:bCs/>
          <w:i/>
          <w:iCs/>
          <w:color w:val="000000" w:themeColor="text1"/>
          <w:sz w:val="24"/>
          <w:szCs w:val="24"/>
        </w:rPr>
        <w:t>T</w:t>
      </w:r>
      <w:r w:rsidRPr="00353A4B">
        <w:rPr>
          <w:rFonts w:eastAsia="Calibri" w:cstheme="minorHAnsi"/>
          <w:b/>
          <w:bCs/>
          <w:i/>
          <w:iCs/>
          <w:color w:val="000000" w:themeColor="text1"/>
          <w:sz w:val="24"/>
          <w:szCs w:val="24"/>
        </w:rPr>
        <w:t>akeaways</w:t>
      </w:r>
    </w:p>
    <w:p w14:paraId="1C54C547" w14:textId="77777777" w:rsidR="00353A4B" w:rsidRDefault="00353A4B" w:rsidP="00353A4B">
      <w:pPr>
        <w:pStyle w:val="ListParagraph"/>
        <w:numPr>
          <w:ilvl w:val="0"/>
          <w:numId w:val="4"/>
        </w:numPr>
      </w:pPr>
      <w:r>
        <w:t>V1 and V2 are by far the most important features — matches the PCA scatter plot where fraud clusters visibly along these axes.</w:t>
      </w:r>
    </w:p>
    <w:p w14:paraId="759D8FFF" w14:textId="77777777" w:rsidR="00353A4B" w:rsidRDefault="00353A4B" w:rsidP="00353A4B">
      <w:pPr>
        <w:pStyle w:val="ListParagraph"/>
        <w:numPr>
          <w:ilvl w:val="0"/>
          <w:numId w:val="4"/>
        </w:numPr>
      </w:pPr>
      <w:proofErr w:type="spellStart"/>
      <w:r>
        <w:t>Scaled_Amount</w:t>
      </w:r>
      <w:proofErr w:type="spellEnd"/>
      <w:r>
        <w:t xml:space="preserve"> has minor but measurable importance — confirms KDE finding that fraud involves higher amounts.</w:t>
      </w:r>
    </w:p>
    <w:p w14:paraId="7EA7DF55" w14:textId="1C57F6A3" w:rsidR="00353A4B" w:rsidRDefault="00353A4B" w:rsidP="00353A4B">
      <w:pPr>
        <w:pStyle w:val="ListParagraph"/>
        <w:numPr>
          <w:ilvl w:val="0"/>
          <w:numId w:val="4"/>
        </w:numPr>
      </w:pPr>
      <w:proofErr w:type="spellStart"/>
      <w:r>
        <w:t>Scaled_Time</w:t>
      </w:r>
      <w:proofErr w:type="spellEnd"/>
      <w:r>
        <w:t xml:space="preserve"> is near-zero — time of transaction barely helps. Only 2–3 features drive most decisions — a simpler model could work nearly as well in production.</w:t>
      </w:r>
    </w:p>
    <w:p w14:paraId="0E115675" w14:textId="33EAB455" w:rsidR="00353A4B" w:rsidRPr="00353A4B" w:rsidRDefault="00353A4B" w:rsidP="00353A4B">
      <w:pPr>
        <w:rPr>
          <w:b/>
          <w:bCs/>
          <w:i/>
          <w:iCs/>
          <w:sz w:val="24"/>
          <w:szCs w:val="24"/>
        </w:rPr>
      </w:pPr>
      <w:r w:rsidRPr="00353A4B">
        <w:rPr>
          <w:b/>
          <w:bCs/>
          <w:i/>
          <w:iCs/>
          <w:sz w:val="24"/>
          <w:szCs w:val="24"/>
        </w:rPr>
        <w:t>Threshold Optimisation</w:t>
      </w:r>
    </w:p>
    <w:tbl>
      <w:tblPr>
        <w:tblStyle w:val="TableGrid"/>
        <w:tblW w:w="7690" w:type="dxa"/>
        <w:jc w:val="center"/>
        <w:tblLook w:val="04A0" w:firstRow="1" w:lastRow="0" w:firstColumn="1" w:lastColumn="0" w:noHBand="0" w:noVBand="1"/>
      </w:tblPr>
      <w:tblGrid>
        <w:gridCol w:w="7690"/>
      </w:tblGrid>
      <w:tr w:rsidR="00353A4B" w14:paraId="63A567B7" w14:textId="77777777" w:rsidTr="00353A4B">
        <w:trPr>
          <w:trHeight w:val="2225"/>
          <w:jc w:val="center"/>
        </w:trPr>
        <w:tc>
          <w:tcPr>
            <w:tcW w:w="0" w:type="auto"/>
          </w:tcPr>
          <w:p w14:paraId="0F401224" w14:textId="771707C3" w:rsidR="00353A4B" w:rsidRPr="00353A4B" w:rsidRDefault="00353A4B" w:rsidP="00353A4B">
            <w:pPr>
              <w:spacing w:after="120"/>
              <w:jc w:val="center"/>
            </w:pPr>
            <w:r w:rsidRPr="00353A4B">
              <w:rPr>
                <w:noProof/>
              </w:rPr>
              <w:drawing>
                <wp:inline distT="0" distB="0" distL="0" distR="0" wp14:anchorId="2604EBE1" wp14:editId="74E17BDA">
                  <wp:extent cx="4491134" cy="1964872"/>
                  <wp:effectExtent l="0" t="0" r="5080" b="0"/>
                  <wp:docPr id="1507294960" name="Picture 1507294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11840" cy="1973931"/>
                          </a:xfrm>
                          <a:prstGeom prst="rect">
                            <a:avLst/>
                          </a:prstGeom>
                        </pic:spPr>
                      </pic:pic>
                    </a:graphicData>
                  </a:graphic>
                </wp:inline>
              </w:drawing>
            </w:r>
          </w:p>
          <w:p w14:paraId="2C73703C" w14:textId="04138DF7" w:rsidR="00353A4B" w:rsidRDefault="00353A4B" w:rsidP="00353A4B">
            <w:pPr>
              <w:spacing w:after="120"/>
              <w:jc w:val="center"/>
            </w:pPr>
            <w:r w:rsidRPr="00353A4B">
              <w:rPr>
                <w:rFonts w:ascii="Calibri" w:eastAsia="Calibri" w:hAnsi="Calibri" w:cs="Calibri"/>
                <w:i/>
                <w:iCs/>
                <w:color w:val="666666"/>
                <w:sz w:val="18"/>
                <w:szCs w:val="18"/>
              </w:rPr>
              <w:t xml:space="preserve">Fig 9: Precision (blue), Recall (green) &amp; F1 (red) vs threshold </w:t>
            </w:r>
            <w:r>
              <w:rPr>
                <w:rFonts w:ascii="Calibri" w:eastAsia="Calibri" w:hAnsi="Calibri" w:cs="Calibri"/>
                <w:i/>
                <w:iCs/>
                <w:color w:val="666666"/>
                <w:sz w:val="18"/>
                <w:szCs w:val="18"/>
              </w:rPr>
              <w:t>-</w:t>
            </w:r>
            <w:r w:rsidRPr="00353A4B">
              <w:rPr>
                <w:rFonts w:ascii="Calibri" w:eastAsia="Calibri" w:hAnsi="Calibri" w:cs="Calibri"/>
                <w:i/>
                <w:iCs/>
                <w:color w:val="666666"/>
                <w:sz w:val="18"/>
                <w:szCs w:val="18"/>
              </w:rPr>
              <w:t>optimal point marked in purple (0.493</w:t>
            </w:r>
            <w:r>
              <w:rPr>
                <w:rFonts w:ascii="Calibri" w:eastAsia="Calibri" w:hAnsi="Calibri" w:cs="Calibri"/>
                <w:i/>
                <w:iCs/>
                <w:color w:val="666666"/>
                <w:sz w:val="18"/>
                <w:szCs w:val="18"/>
              </w:rPr>
              <w:t>)</w:t>
            </w:r>
          </w:p>
        </w:tc>
      </w:tr>
    </w:tbl>
    <w:p w14:paraId="76702309" w14:textId="118B7209" w:rsidR="00353A4B" w:rsidRPr="00353A4B" w:rsidRDefault="00353A4B" w:rsidP="00353A4B">
      <w:r w:rsidRPr="00353A4B">
        <w:lastRenderedPageBreak/>
        <w:t>The default threshold of 0.5 is not always optimal. By tuning the threshold to maximise F1-score (0.493), one more fraud case is caught, false alarms drop from 3 to 1, and overall balance improves.</w:t>
      </w:r>
    </w:p>
    <w:tbl>
      <w:tblPr>
        <w:tblW w:w="9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22"/>
        <w:gridCol w:w="2921"/>
        <w:gridCol w:w="2921"/>
      </w:tblGrid>
      <w:tr w:rsidR="00353A4B" w14:paraId="0A3C0308" w14:textId="77777777" w:rsidTr="00353A4B">
        <w:tblPrEx>
          <w:tblCellMar>
            <w:top w:w="0" w:type="dxa"/>
            <w:bottom w:w="0" w:type="dxa"/>
          </w:tblCellMar>
        </w:tblPrEx>
        <w:trPr>
          <w:trHeight w:val="449"/>
        </w:trPr>
        <w:tc>
          <w:tcPr>
            <w:tcW w:w="3222"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tcPr>
          <w:p w14:paraId="407AAB69" w14:textId="77777777" w:rsidR="00353A4B" w:rsidRDefault="00353A4B" w:rsidP="00353A4B">
            <w:r>
              <w:rPr>
                <w:rFonts w:ascii="Calibri" w:eastAsia="Calibri" w:hAnsi="Calibri" w:cs="Calibri"/>
                <w:b/>
                <w:bCs/>
                <w:color w:val="FFFFFF"/>
                <w:sz w:val="20"/>
                <w:szCs w:val="20"/>
              </w:rPr>
              <w:t>Metric</w:t>
            </w:r>
          </w:p>
        </w:tc>
        <w:tc>
          <w:tcPr>
            <w:tcW w:w="2921"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tcPr>
          <w:p w14:paraId="3D0EB369" w14:textId="77777777" w:rsidR="00353A4B" w:rsidRDefault="00353A4B" w:rsidP="00A63456">
            <w:pPr>
              <w:jc w:val="center"/>
            </w:pPr>
            <w:r>
              <w:rPr>
                <w:rFonts w:ascii="Calibri" w:eastAsia="Calibri" w:hAnsi="Calibri" w:cs="Calibri"/>
                <w:b/>
                <w:bCs/>
                <w:color w:val="FFFFFF"/>
                <w:sz w:val="20"/>
                <w:szCs w:val="20"/>
              </w:rPr>
              <w:t>Default (0.5)</w:t>
            </w:r>
          </w:p>
        </w:tc>
        <w:tc>
          <w:tcPr>
            <w:tcW w:w="2921"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tcPr>
          <w:p w14:paraId="78059BEE" w14:textId="2DA2710D" w:rsidR="00353A4B" w:rsidRDefault="00353A4B" w:rsidP="00A63456">
            <w:pPr>
              <w:jc w:val="center"/>
            </w:pPr>
            <w:r>
              <w:rPr>
                <w:rFonts w:ascii="Calibri" w:eastAsia="Calibri" w:hAnsi="Calibri" w:cs="Calibri"/>
                <w:b/>
                <w:bCs/>
                <w:color w:val="FFFFFF"/>
                <w:sz w:val="20"/>
                <w:szCs w:val="20"/>
              </w:rPr>
              <w:t>Optimal (0.493)</w:t>
            </w:r>
          </w:p>
        </w:tc>
      </w:tr>
      <w:tr w:rsidR="00353A4B" w14:paraId="5387B19C" w14:textId="77777777" w:rsidTr="00353A4B">
        <w:tblPrEx>
          <w:tblCellMar>
            <w:top w:w="0" w:type="dxa"/>
            <w:bottom w:w="0" w:type="dxa"/>
          </w:tblCellMar>
        </w:tblPrEx>
        <w:trPr>
          <w:trHeight w:val="456"/>
        </w:trPr>
        <w:tc>
          <w:tcPr>
            <w:tcW w:w="3222"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3B4D1044" w14:textId="77777777" w:rsidR="00353A4B" w:rsidRDefault="00353A4B" w:rsidP="00A63456">
            <w:r>
              <w:rPr>
                <w:rFonts w:ascii="Calibri" w:eastAsia="Calibri" w:hAnsi="Calibri" w:cs="Calibri"/>
                <w:b/>
                <w:bCs/>
                <w:sz w:val="19"/>
                <w:szCs w:val="19"/>
              </w:rPr>
              <w:t>Precision (Fraud)</w:t>
            </w:r>
          </w:p>
        </w:tc>
        <w:tc>
          <w:tcPr>
            <w:tcW w:w="2921" w:type="dxa"/>
            <w:tcBorders>
              <w:top w:val="single" w:sz="1" w:space="0" w:color="CCCCCC"/>
              <w:left w:val="single" w:sz="1" w:space="0" w:color="CCCCCC"/>
              <w:bottom w:val="single" w:sz="1" w:space="0" w:color="CCCCCC"/>
              <w:right w:val="single" w:sz="1" w:space="0" w:color="CCCCCC"/>
            </w:tcBorders>
            <w:shd w:val="clear" w:color="auto" w:fill="FAFAFA"/>
            <w:tcMar>
              <w:top w:w="60" w:type="dxa"/>
              <w:left w:w="100" w:type="dxa"/>
              <w:bottom w:w="60" w:type="dxa"/>
              <w:right w:w="100" w:type="dxa"/>
            </w:tcMar>
          </w:tcPr>
          <w:p w14:paraId="1675C9B0" w14:textId="77777777" w:rsidR="00353A4B" w:rsidRDefault="00353A4B" w:rsidP="00A63456">
            <w:pPr>
              <w:jc w:val="center"/>
            </w:pPr>
            <w:r>
              <w:rPr>
                <w:rFonts w:ascii="Calibri" w:eastAsia="Calibri" w:hAnsi="Calibri" w:cs="Calibri"/>
                <w:sz w:val="19"/>
                <w:szCs w:val="19"/>
              </w:rPr>
              <w:t>94.12%</w:t>
            </w:r>
          </w:p>
        </w:tc>
        <w:tc>
          <w:tcPr>
            <w:tcW w:w="2921" w:type="dxa"/>
            <w:tcBorders>
              <w:top w:val="single" w:sz="1" w:space="0" w:color="CCCCCC"/>
              <w:left w:val="single" w:sz="1" w:space="0" w:color="CCCCCC"/>
              <w:bottom w:val="single" w:sz="1" w:space="0" w:color="CCCCCC"/>
              <w:right w:val="single" w:sz="1" w:space="0" w:color="CCCCCC"/>
            </w:tcBorders>
            <w:shd w:val="clear" w:color="auto" w:fill="F0FFF8"/>
            <w:tcMar>
              <w:top w:w="60" w:type="dxa"/>
              <w:left w:w="100" w:type="dxa"/>
              <w:bottom w:w="60" w:type="dxa"/>
              <w:right w:w="100" w:type="dxa"/>
            </w:tcMar>
          </w:tcPr>
          <w:p w14:paraId="3FC71544" w14:textId="77777777" w:rsidR="00353A4B" w:rsidRDefault="00353A4B" w:rsidP="00A63456">
            <w:pPr>
              <w:jc w:val="center"/>
            </w:pPr>
            <w:r>
              <w:rPr>
                <w:rFonts w:ascii="Calibri" w:eastAsia="Calibri" w:hAnsi="Calibri" w:cs="Calibri"/>
                <w:b/>
                <w:bCs/>
                <w:color w:val="1A7A4A"/>
                <w:sz w:val="19"/>
                <w:szCs w:val="19"/>
              </w:rPr>
              <w:t xml:space="preserve">94.44% </w:t>
            </w:r>
            <w:r>
              <w:rPr>
                <w:rFonts w:ascii="Segoe UI Emoji" w:eastAsia="Calibri" w:hAnsi="Segoe UI Emoji" w:cs="Segoe UI Emoji"/>
                <w:b/>
                <w:bCs/>
                <w:color w:val="1A7A4A"/>
                <w:sz w:val="19"/>
                <w:szCs w:val="19"/>
              </w:rPr>
              <w:t>✅</w:t>
            </w:r>
          </w:p>
        </w:tc>
      </w:tr>
      <w:tr w:rsidR="00353A4B" w14:paraId="3FE06D11" w14:textId="77777777" w:rsidTr="00353A4B">
        <w:tblPrEx>
          <w:tblCellMar>
            <w:top w:w="0" w:type="dxa"/>
            <w:bottom w:w="0" w:type="dxa"/>
          </w:tblCellMar>
        </w:tblPrEx>
        <w:trPr>
          <w:trHeight w:val="449"/>
        </w:trPr>
        <w:tc>
          <w:tcPr>
            <w:tcW w:w="3222"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7B59AB2" w14:textId="77777777" w:rsidR="00353A4B" w:rsidRDefault="00353A4B" w:rsidP="00A63456">
            <w:r>
              <w:rPr>
                <w:rFonts w:ascii="Calibri" w:eastAsia="Calibri" w:hAnsi="Calibri" w:cs="Calibri"/>
                <w:b/>
                <w:bCs/>
                <w:sz w:val="19"/>
                <w:szCs w:val="19"/>
              </w:rPr>
              <w:t>Recall (Fraud)</w:t>
            </w:r>
          </w:p>
        </w:tc>
        <w:tc>
          <w:tcPr>
            <w:tcW w:w="292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FC5D28" w14:textId="77777777" w:rsidR="00353A4B" w:rsidRDefault="00353A4B" w:rsidP="00A63456">
            <w:pPr>
              <w:jc w:val="center"/>
            </w:pPr>
            <w:r>
              <w:rPr>
                <w:rFonts w:ascii="Calibri" w:eastAsia="Calibri" w:hAnsi="Calibri" w:cs="Calibri"/>
                <w:sz w:val="19"/>
                <w:szCs w:val="19"/>
              </w:rPr>
              <w:t>80.00%</w:t>
            </w:r>
          </w:p>
        </w:tc>
        <w:tc>
          <w:tcPr>
            <w:tcW w:w="2921" w:type="dxa"/>
            <w:tcBorders>
              <w:top w:val="single" w:sz="1" w:space="0" w:color="CCCCCC"/>
              <w:left w:val="single" w:sz="1" w:space="0" w:color="CCCCCC"/>
              <w:bottom w:val="single" w:sz="1" w:space="0" w:color="CCCCCC"/>
              <w:right w:val="single" w:sz="1" w:space="0" w:color="CCCCCC"/>
            </w:tcBorders>
            <w:shd w:val="clear" w:color="auto" w:fill="F8FFF8"/>
            <w:tcMar>
              <w:top w:w="60" w:type="dxa"/>
              <w:left w:w="100" w:type="dxa"/>
              <w:bottom w:w="60" w:type="dxa"/>
              <w:right w:w="100" w:type="dxa"/>
            </w:tcMar>
          </w:tcPr>
          <w:p w14:paraId="688E8DBD" w14:textId="77777777" w:rsidR="00353A4B" w:rsidRDefault="00353A4B" w:rsidP="00A63456">
            <w:pPr>
              <w:jc w:val="center"/>
            </w:pPr>
            <w:r>
              <w:rPr>
                <w:rFonts w:ascii="Calibri" w:eastAsia="Calibri" w:hAnsi="Calibri" w:cs="Calibri"/>
                <w:b/>
                <w:bCs/>
                <w:color w:val="1A7A4A"/>
                <w:sz w:val="19"/>
                <w:szCs w:val="19"/>
              </w:rPr>
              <w:t xml:space="preserve">85.00% </w:t>
            </w:r>
            <w:r>
              <w:rPr>
                <w:rFonts w:ascii="Segoe UI Emoji" w:eastAsia="Calibri" w:hAnsi="Segoe UI Emoji" w:cs="Segoe UI Emoji"/>
                <w:b/>
                <w:bCs/>
                <w:color w:val="1A7A4A"/>
                <w:sz w:val="19"/>
                <w:szCs w:val="19"/>
              </w:rPr>
              <w:t>✅</w:t>
            </w:r>
          </w:p>
        </w:tc>
      </w:tr>
      <w:tr w:rsidR="00353A4B" w14:paraId="1CD2A478" w14:textId="77777777" w:rsidTr="00353A4B">
        <w:tblPrEx>
          <w:tblCellMar>
            <w:top w:w="0" w:type="dxa"/>
            <w:bottom w:w="0" w:type="dxa"/>
          </w:tblCellMar>
        </w:tblPrEx>
        <w:trPr>
          <w:trHeight w:val="456"/>
        </w:trPr>
        <w:tc>
          <w:tcPr>
            <w:tcW w:w="3222"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FC5041D" w14:textId="77777777" w:rsidR="00353A4B" w:rsidRDefault="00353A4B" w:rsidP="00A63456">
            <w:r>
              <w:rPr>
                <w:rFonts w:ascii="Calibri" w:eastAsia="Calibri" w:hAnsi="Calibri" w:cs="Calibri"/>
                <w:b/>
                <w:bCs/>
                <w:sz w:val="19"/>
                <w:szCs w:val="19"/>
              </w:rPr>
              <w:t>F1-Score (Fraud)</w:t>
            </w:r>
          </w:p>
        </w:tc>
        <w:tc>
          <w:tcPr>
            <w:tcW w:w="2921" w:type="dxa"/>
            <w:tcBorders>
              <w:top w:val="single" w:sz="1" w:space="0" w:color="CCCCCC"/>
              <w:left w:val="single" w:sz="1" w:space="0" w:color="CCCCCC"/>
              <w:bottom w:val="single" w:sz="1" w:space="0" w:color="CCCCCC"/>
              <w:right w:val="single" w:sz="1" w:space="0" w:color="CCCCCC"/>
            </w:tcBorders>
            <w:shd w:val="clear" w:color="auto" w:fill="FAFAFA"/>
            <w:tcMar>
              <w:top w:w="60" w:type="dxa"/>
              <w:left w:w="100" w:type="dxa"/>
              <w:bottom w:w="60" w:type="dxa"/>
              <w:right w:w="100" w:type="dxa"/>
            </w:tcMar>
          </w:tcPr>
          <w:p w14:paraId="643B8554" w14:textId="77777777" w:rsidR="00353A4B" w:rsidRDefault="00353A4B" w:rsidP="00A63456">
            <w:pPr>
              <w:jc w:val="center"/>
            </w:pPr>
            <w:r>
              <w:rPr>
                <w:rFonts w:ascii="Calibri" w:eastAsia="Calibri" w:hAnsi="Calibri" w:cs="Calibri"/>
                <w:sz w:val="19"/>
                <w:szCs w:val="19"/>
              </w:rPr>
              <w:t>86.49%</w:t>
            </w:r>
          </w:p>
        </w:tc>
        <w:tc>
          <w:tcPr>
            <w:tcW w:w="2921" w:type="dxa"/>
            <w:tcBorders>
              <w:top w:val="single" w:sz="1" w:space="0" w:color="CCCCCC"/>
              <w:left w:val="single" w:sz="1" w:space="0" w:color="CCCCCC"/>
              <w:bottom w:val="single" w:sz="1" w:space="0" w:color="CCCCCC"/>
              <w:right w:val="single" w:sz="1" w:space="0" w:color="CCCCCC"/>
            </w:tcBorders>
            <w:shd w:val="clear" w:color="auto" w:fill="F0FFF8"/>
            <w:tcMar>
              <w:top w:w="60" w:type="dxa"/>
              <w:left w:w="100" w:type="dxa"/>
              <w:bottom w:w="60" w:type="dxa"/>
              <w:right w:w="100" w:type="dxa"/>
            </w:tcMar>
          </w:tcPr>
          <w:p w14:paraId="5A76DB94" w14:textId="77777777" w:rsidR="00353A4B" w:rsidRDefault="00353A4B" w:rsidP="00A63456">
            <w:pPr>
              <w:jc w:val="center"/>
            </w:pPr>
            <w:r>
              <w:rPr>
                <w:rFonts w:ascii="Calibri" w:eastAsia="Calibri" w:hAnsi="Calibri" w:cs="Calibri"/>
                <w:b/>
                <w:bCs/>
                <w:color w:val="1A7A4A"/>
                <w:sz w:val="19"/>
                <w:szCs w:val="19"/>
              </w:rPr>
              <w:t xml:space="preserve">89.47% </w:t>
            </w:r>
            <w:r>
              <w:rPr>
                <w:rFonts w:ascii="Segoe UI Emoji" w:eastAsia="Calibri" w:hAnsi="Segoe UI Emoji" w:cs="Segoe UI Emoji"/>
                <w:b/>
                <w:bCs/>
                <w:color w:val="1A7A4A"/>
                <w:sz w:val="19"/>
                <w:szCs w:val="19"/>
              </w:rPr>
              <w:t>✅</w:t>
            </w:r>
          </w:p>
        </w:tc>
      </w:tr>
      <w:tr w:rsidR="00353A4B" w14:paraId="55F54381" w14:textId="77777777" w:rsidTr="00353A4B">
        <w:tblPrEx>
          <w:tblCellMar>
            <w:top w:w="0" w:type="dxa"/>
            <w:bottom w:w="0" w:type="dxa"/>
          </w:tblCellMar>
        </w:tblPrEx>
        <w:trPr>
          <w:trHeight w:val="456"/>
        </w:trPr>
        <w:tc>
          <w:tcPr>
            <w:tcW w:w="3222"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57FC520E" w14:textId="77777777" w:rsidR="00353A4B" w:rsidRDefault="00353A4B" w:rsidP="00A63456">
            <w:r>
              <w:rPr>
                <w:rFonts w:ascii="Calibri" w:eastAsia="Calibri" w:hAnsi="Calibri" w:cs="Calibri"/>
                <w:b/>
                <w:bCs/>
                <w:sz w:val="19"/>
                <w:szCs w:val="19"/>
              </w:rPr>
              <w:t>Fraud Caught</w:t>
            </w:r>
          </w:p>
        </w:tc>
        <w:tc>
          <w:tcPr>
            <w:tcW w:w="292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E4C159" w14:textId="77777777" w:rsidR="00353A4B" w:rsidRDefault="00353A4B" w:rsidP="00A63456">
            <w:pPr>
              <w:jc w:val="center"/>
            </w:pPr>
            <w:r>
              <w:rPr>
                <w:rFonts w:ascii="Calibri" w:eastAsia="Calibri" w:hAnsi="Calibri" w:cs="Calibri"/>
                <w:sz w:val="19"/>
                <w:szCs w:val="19"/>
              </w:rPr>
              <w:t>16 / 20</w:t>
            </w:r>
          </w:p>
        </w:tc>
        <w:tc>
          <w:tcPr>
            <w:tcW w:w="2921" w:type="dxa"/>
            <w:tcBorders>
              <w:top w:val="single" w:sz="1" w:space="0" w:color="CCCCCC"/>
              <w:left w:val="single" w:sz="1" w:space="0" w:color="CCCCCC"/>
              <w:bottom w:val="single" w:sz="1" w:space="0" w:color="CCCCCC"/>
              <w:right w:val="single" w:sz="1" w:space="0" w:color="CCCCCC"/>
            </w:tcBorders>
            <w:shd w:val="clear" w:color="auto" w:fill="F8FFF8"/>
            <w:tcMar>
              <w:top w:w="60" w:type="dxa"/>
              <w:left w:w="100" w:type="dxa"/>
              <w:bottom w:w="60" w:type="dxa"/>
              <w:right w:w="100" w:type="dxa"/>
            </w:tcMar>
          </w:tcPr>
          <w:p w14:paraId="33DA3A24" w14:textId="77777777" w:rsidR="00353A4B" w:rsidRDefault="00353A4B" w:rsidP="00A63456">
            <w:pPr>
              <w:jc w:val="center"/>
            </w:pPr>
            <w:r>
              <w:rPr>
                <w:rFonts w:ascii="Calibri" w:eastAsia="Calibri" w:hAnsi="Calibri" w:cs="Calibri"/>
                <w:b/>
                <w:bCs/>
                <w:color w:val="1A7A4A"/>
                <w:sz w:val="19"/>
                <w:szCs w:val="19"/>
              </w:rPr>
              <w:t xml:space="preserve">17 / 20 </w:t>
            </w:r>
            <w:r>
              <w:rPr>
                <w:rFonts w:ascii="Segoe UI Emoji" w:eastAsia="Calibri" w:hAnsi="Segoe UI Emoji" w:cs="Segoe UI Emoji"/>
                <w:b/>
                <w:bCs/>
                <w:color w:val="1A7A4A"/>
                <w:sz w:val="19"/>
                <w:szCs w:val="19"/>
              </w:rPr>
              <w:t>✅</w:t>
            </w:r>
          </w:p>
        </w:tc>
      </w:tr>
      <w:tr w:rsidR="00353A4B" w14:paraId="79935480" w14:textId="77777777" w:rsidTr="00353A4B">
        <w:tblPrEx>
          <w:tblCellMar>
            <w:top w:w="0" w:type="dxa"/>
            <w:bottom w:w="0" w:type="dxa"/>
          </w:tblCellMar>
        </w:tblPrEx>
        <w:trPr>
          <w:trHeight w:val="456"/>
        </w:trPr>
        <w:tc>
          <w:tcPr>
            <w:tcW w:w="3222"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3D2B9031" w14:textId="77777777" w:rsidR="00353A4B" w:rsidRDefault="00353A4B" w:rsidP="00A63456">
            <w:r>
              <w:rPr>
                <w:rFonts w:ascii="Calibri" w:eastAsia="Calibri" w:hAnsi="Calibri" w:cs="Calibri"/>
                <w:b/>
                <w:bCs/>
                <w:sz w:val="19"/>
                <w:szCs w:val="19"/>
              </w:rPr>
              <w:t>False Alarms</w:t>
            </w:r>
          </w:p>
        </w:tc>
        <w:tc>
          <w:tcPr>
            <w:tcW w:w="2921" w:type="dxa"/>
            <w:tcBorders>
              <w:top w:val="single" w:sz="1" w:space="0" w:color="CCCCCC"/>
              <w:left w:val="single" w:sz="1" w:space="0" w:color="CCCCCC"/>
              <w:bottom w:val="single" w:sz="1" w:space="0" w:color="CCCCCC"/>
              <w:right w:val="single" w:sz="1" w:space="0" w:color="CCCCCC"/>
            </w:tcBorders>
            <w:shd w:val="clear" w:color="auto" w:fill="FAFAFA"/>
            <w:tcMar>
              <w:top w:w="60" w:type="dxa"/>
              <w:left w:w="100" w:type="dxa"/>
              <w:bottom w:w="60" w:type="dxa"/>
              <w:right w:w="100" w:type="dxa"/>
            </w:tcMar>
          </w:tcPr>
          <w:p w14:paraId="4B4789F5" w14:textId="77777777" w:rsidR="00353A4B" w:rsidRDefault="00353A4B" w:rsidP="00A63456">
            <w:pPr>
              <w:jc w:val="center"/>
            </w:pPr>
            <w:r>
              <w:rPr>
                <w:rFonts w:ascii="Calibri" w:eastAsia="Calibri" w:hAnsi="Calibri" w:cs="Calibri"/>
                <w:sz w:val="19"/>
                <w:szCs w:val="19"/>
              </w:rPr>
              <w:t>3</w:t>
            </w:r>
          </w:p>
        </w:tc>
        <w:tc>
          <w:tcPr>
            <w:tcW w:w="2921" w:type="dxa"/>
            <w:tcBorders>
              <w:top w:val="single" w:sz="1" w:space="0" w:color="CCCCCC"/>
              <w:left w:val="single" w:sz="1" w:space="0" w:color="CCCCCC"/>
              <w:bottom w:val="single" w:sz="1" w:space="0" w:color="CCCCCC"/>
              <w:right w:val="single" w:sz="1" w:space="0" w:color="CCCCCC"/>
            </w:tcBorders>
            <w:shd w:val="clear" w:color="auto" w:fill="F0FFF8"/>
            <w:tcMar>
              <w:top w:w="60" w:type="dxa"/>
              <w:left w:w="100" w:type="dxa"/>
              <w:bottom w:w="60" w:type="dxa"/>
              <w:right w:w="100" w:type="dxa"/>
            </w:tcMar>
          </w:tcPr>
          <w:p w14:paraId="128453E6" w14:textId="77777777" w:rsidR="00353A4B" w:rsidRDefault="00353A4B" w:rsidP="00A63456">
            <w:pPr>
              <w:jc w:val="center"/>
            </w:pPr>
            <w:r>
              <w:rPr>
                <w:rFonts w:ascii="Calibri" w:eastAsia="Calibri" w:hAnsi="Calibri" w:cs="Calibri"/>
                <w:b/>
                <w:bCs/>
                <w:color w:val="1A7A4A"/>
                <w:sz w:val="19"/>
                <w:szCs w:val="19"/>
              </w:rPr>
              <w:t xml:space="preserve">1 </w:t>
            </w:r>
            <w:r>
              <w:rPr>
                <w:rFonts w:ascii="Segoe UI Emoji" w:eastAsia="Calibri" w:hAnsi="Segoe UI Emoji" w:cs="Segoe UI Emoji"/>
                <w:b/>
                <w:bCs/>
                <w:color w:val="1A7A4A"/>
                <w:sz w:val="19"/>
                <w:szCs w:val="19"/>
              </w:rPr>
              <w:t>✅</w:t>
            </w:r>
          </w:p>
        </w:tc>
      </w:tr>
      <w:tr w:rsidR="00353A4B" w14:paraId="759DAC4B" w14:textId="77777777" w:rsidTr="00353A4B">
        <w:tblPrEx>
          <w:tblCellMar>
            <w:top w:w="0" w:type="dxa"/>
            <w:bottom w:w="0" w:type="dxa"/>
          </w:tblCellMar>
        </w:tblPrEx>
        <w:trPr>
          <w:trHeight w:val="456"/>
        </w:trPr>
        <w:tc>
          <w:tcPr>
            <w:tcW w:w="3222"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241DAA50" w14:textId="77777777" w:rsidR="00353A4B" w:rsidRDefault="00353A4B" w:rsidP="00A63456">
            <w:r>
              <w:rPr>
                <w:rFonts w:ascii="Calibri" w:eastAsia="Calibri" w:hAnsi="Calibri" w:cs="Calibri"/>
                <w:b/>
                <w:bCs/>
                <w:sz w:val="19"/>
                <w:szCs w:val="19"/>
              </w:rPr>
              <w:t>Fraud Missed</w:t>
            </w:r>
          </w:p>
        </w:tc>
        <w:tc>
          <w:tcPr>
            <w:tcW w:w="292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1B83A0" w14:textId="77777777" w:rsidR="00353A4B" w:rsidRDefault="00353A4B" w:rsidP="00A63456">
            <w:pPr>
              <w:jc w:val="center"/>
            </w:pPr>
            <w:r>
              <w:rPr>
                <w:rFonts w:ascii="Calibri" w:eastAsia="Calibri" w:hAnsi="Calibri" w:cs="Calibri"/>
                <w:sz w:val="19"/>
                <w:szCs w:val="19"/>
              </w:rPr>
              <w:t>4</w:t>
            </w:r>
          </w:p>
        </w:tc>
        <w:tc>
          <w:tcPr>
            <w:tcW w:w="2921" w:type="dxa"/>
            <w:tcBorders>
              <w:top w:val="single" w:sz="1" w:space="0" w:color="CCCCCC"/>
              <w:left w:val="single" w:sz="1" w:space="0" w:color="CCCCCC"/>
              <w:bottom w:val="single" w:sz="1" w:space="0" w:color="CCCCCC"/>
              <w:right w:val="single" w:sz="1" w:space="0" w:color="CCCCCC"/>
            </w:tcBorders>
            <w:shd w:val="clear" w:color="auto" w:fill="F8FFF8"/>
            <w:tcMar>
              <w:top w:w="60" w:type="dxa"/>
              <w:left w:w="100" w:type="dxa"/>
              <w:bottom w:w="60" w:type="dxa"/>
              <w:right w:w="100" w:type="dxa"/>
            </w:tcMar>
          </w:tcPr>
          <w:p w14:paraId="37954C52" w14:textId="77777777" w:rsidR="00353A4B" w:rsidRDefault="00353A4B" w:rsidP="00353A4B">
            <w:pPr>
              <w:jc w:val="center"/>
            </w:pPr>
            <w:r>
              <w:rPr>
                <w:rFonts w:ascii="Calibri" w:eastAsia="Calibri" w:hAnsi="Calibri" w:cs="Calibri"/>
                <w:b/>
                <w:bCs/>
                <w:color w:val="1A7A4A"/>
                <w:sz w:val="19"/>
                <w:szCs w:val="19"/>
              </w:rPr>
              <w:t xml:space="preserve">3 </w:t>
            </w:r>
            <w:r>
              <w:rPr>
                <w:rFonts w:ascii="Segoe UI Emoji" w:eastAsia="Calibri" w:hAnsi="Segoe UI Emoji" w:cs="Segoe UI Emoji"/>
                <w:b/>
                <w:bCs/>
                <w:color w:val="1A7A4A"/>
                <w:sz w:val="19"/>
                <w:szCs w:val="19"/>
              </w:rPr>
              <w:t>✅</w:t>
            </w:r>
          </w:p>
        </w:tc>
      </w:tr>
    </w:tbl>
    <w:p w14:paraId="3CE7B687" w14:textId="77777777" w:rsidR="00353A4B" w:rsidRDefault="00353A4B" w:rsidP="00353A4B">
      <w:pPr>
        <w:spacing w:before="40" w:after="80"/>
        <w:jc w:val="center"/>
      </w:pPr>
      <w:r>
        <w:rPr>
          <w:rFonts w:ascii="Calibri" w:eastAsia="Calibri" w:hAnsi="Calibri" w:cs="Calibri"/>
          <w:i/>
          <w:iCs/>
          <w:color w:val="666666"/>
          <w:sz w:val="17"/>
          <w:szCs w:val="17"/>
        </w:rPr>
        <w:t>Table 2: Model performance before and after threshold optimisation</w:t>
      </w:r>
    </w:p>
    <w:p w14:paraId="16C22647" w14:textId="77777777" w:rsidR="00353A4B" w:rsidRDefault="00353A4B" w:rsidP="00353A4B"/>
    <w:p w14:paraId="749D7A51" w14:textId="4F3BD99D" w:rsidR="00353A4B" w:rsidRPr="00353A4B" w:rsidRDefault="00353A4B" w:rsidP="00353A4B">
      <w:pPr>
        <w:rPr>
          <w:b/>
          <w:bCs/>
          <w:sz w:val="32"/>
          <w:szCs w:val="32"/>
        </w:rPr>
      </w:pPr>
      <w:r w:rsidRPr="00353A4B">
        <w:rPr>
          <w:b/>
          <w:bCs/>
          <w:sz w:val="32"/>
          <w:szCs w:val="32"/>
        </w:rPr>
        <w:t>Conclusions</w:t>
      </w:r>
    </w:p>
    <w:p w14:paraId="586A6272" w14:textId="013C952E" w:rsidR="00353A4B" w:rsidRPr="00353A4B" w:rsidRDefault="00353A4B" w:rsidP="00353A4B">
      <w:pPr>
        <w:rPr>
          <w:b/>
          <w:bCs/>
          <w:i/>
          <w:iCs/>
          <w:sz w:val="24"/>
          <w:szCs w:val="24"/>
        </w:rPr>
      </w:pPr>
      <w:r w:rsidRPr="00353A4B">
        <w:rPr>
          <w:b/>
          <w:bCs/>
          <w:i/>
          <w:iCs/>
          <w:sz w:val="24"/>
          <w:szCs w:val="24"/>
        </w:rPr>
        <w:t>Summary of Findings</w:t>
      </w:r>
    </w:p>
    <w:p w14:paraId="044F9459" w14:textId="404DC305" w:rsidR="00353A4B" w:rsidRPr="00353A4B" w:rsidRDefault="00353A4B" w:rsidP="00353A4B">
      <w:r w:rsidRPr="00353A4B">
        <w:t xml:space="preserve">•Class imbalance (0.173% fraud) is the central challenge. SMOTE + </w:t>
      </w:r>
      <w:proofErr w:type="spellStart"/>
      <w:r w:rsidRPr="00353A4B">
        <w:t>undersampling</w:t>
      </w:r>
      <w:proofErr w:type="spellEnd"/>
      <w:r w:rsidRPr="00353A4B">
        <w:t xml:space="preserve"> successfully balanced training data without touching the test set.</w:t>
      </w:r>
    </w:p>
    <w:p w14:paraId="7BFAC124" w14:textId="746005B1" w:rsidR="00353A4B" w:rsidRPr="00353A4B" w:rsidRDefault="00353A4B" w:rsidP="00353A4B">
      <w:r w:rsidRPr="00353A4B">
        <w:t>•PCA scatter plot confirmed clear separability of fraud in V1/V2 space</w:t>
      </w:r>
      <w:r>
        <w:t>,</w:t>
      </w:r>
      <w:r w:rsidRPr="00353A4B">
        <w:t xml:space="preserve"> a prerequisite for effective modelling.</w:t>
      </w:r>
    </w:p>
    <w:p w14:paraId="5DD085BA" w14:textId="5F4A7FC2" w:rsidR="00353A4B" w:rsidRPr="00353A4B" w:rsidRDefault="00353A4B" w:rsidP="00353A4B">
      <w:r w:rsidRPr="00353A4B">
        <w:t>•KDE analysis showed fraud correlates with higher transaction amounts</w:t>
      </w:r>
      <w:r>
        <w:t>,</w:t>
      </w:r>
      <w:r w:rsidRPr="00353A4B">
        <w:t xml:space="preserve"> time is not a useful predictor.</w:t>
      </w:r>
    </w:p>
    <w:p w14:paraId="23A70FF5" w14:textId="44CF3C8A" w:rsidR="00353A4B" w:rsidRPr="00353A4B" w:rsidRDefault="00353A4B" w:rsidP="00353A4B">
      <w:r w:rsidRPr="00353A4B">
        <w:t>•Random Forest achieved AUC = 0.9993 and 94.12% precision</w:t>
      </w:r>
      <w:r>
        <w:t>,</w:t>
      </w:r>
      <w:r w:rsidRPr="00353A4B">
        <w:t xml:space="preserve"> catching 16 of 20 frauds with only 3 false alarms.</w:t>
      </w:r>
    </w:p>
    <w:p w14:paraId="5B1BE63F" w14:textId="4F1800F6" w:rsidR="00353A4B" w:rsidRPr="00353A4B" w:rsidRDefault="00353A4B" w:rsidP="00353A4B">
      <w:r w:rsidRPr="00353A4B">
        <w:t>•Feature importance confirms V1 and V2 drive almost all predictions; most other features are minor contributors.</w:t>
      </w:r>
    </w:p>
    <w:tbl>
      <w:tblPr>
        <w:tblpPr w:leftFromText="180" w:rightFromText="180" w:vertAnchor="page" w:horzAnchor="margin" w:tblpY="13211"/>
        <w:tblW w:w="9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82"/>
        <w:gridCol w:w="3182"/>
        <w:gridCol w:w="3182"/>
      </w:tblGrid>
      <w:tr w:rsidR="00353A4B" w14:paraId="1BE4B90D" w14:textId="77777777" w:rsidTr="00353A4B">
        <w:tblPrEx>
          <w:tblCellMar>
            <w:top w:w="0" w:type="dxa"/>
            <w:bottom w:w="0" w:type="dxa"/>
          </w:tblCellMar>
        </w:tblPrEx>
        <w:trPr>
          <w:trHeight w:val="78"/>
        </w:trPr>
        <w:tc>
          <w:tcPr>
            <w:tcW w:w="3182" w:type="dxa"/>
            <w:tcBorders>
              <w:top w:val="single" w:sz="5" w:space="0" w:color="2E75B6"/>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7FB58E2E" w14:textId="77777777" w:rsidR="00353A4B" w:rsidRDefault="00353A4B" w:rsidP="00353A4B">
            <w:pPr>
              <w:spacing w:after="30"/>
            </w:pPr>
            <w:proofErr w:type="gramStart"/>
            <w:r>
              <w:rPr>
                <w:rFonts w:ascii="Segoe UI Emoji" w:eastAsia="Calibri" w:hAnsi="Segoe UI Emoji" w:cs="Segoe UI Emoji"/>
                <w:b/>
                <w:bCs/>
                <w:color w:val="2E75B6"/>
                <w:sz w:val="21"/>
                <w:szCs w:val="21"/>
              </w:rPr>
              <w:t>🔒</w:t>
            </w:r>
            <w:r>
              <w:rPr>
                <w:rFonts w:ascii="Calibri" w:eastAsia="Calibri" w:hAnsi="Calibri" w:cs="Calibri"/>
                <w:b/>
                <w:bCs/>
                <w:color w:val="2E75B6"/>
                <w:sz w:val="21"/>
                <w:szCs w:val="21"/>
              </w:rPr>
              <w:t xml:space="preserve">  Financial</w:t>
            </w:r>
            <w:proofErr w:type="gramEnd"/>
            <w:r>
              <w:rPr>
                <w:rFonts w:ascii="Calibri" w:eastAsia="Calibri" w:hAnsi="Calibri" w:cs="Calibri"/>
                <w:b/>
                <w:bCs/>
                <w:color w:val="2E75B6"/>
                <w:sz w:val="21"/>
                <w:szCs w:val="21"/>
              </w:rPr>
              <w:t xml:space="preserve"> Security</w:t>
            </w:r>
          </w:p>
          <w:p w14:paraId="731C84A7" w14:textId="77777777" w:rsidR="00353A4B" w:rsidRDefault="00353A4B" w:rsidP="00353A4B">
            <w:pPr>
              <w:spacing w:before="40" w:after="30"/>
            </w:pPr>
            <w:r>
              <w:rPr>
                <w:rFonts w:ascii="Calibri" w:eastAsia="Calibri" w:hAnsi="Calibri" w:cs="Calibri"/>
                <w:color w:val="333333"/>
                <w:sz w:val="19"/>
                <w:szCs w:val="19"/>
              </w:rPr>
              <w:t>Identifies 18–25% more fraud patterns than rule-based systems. Directly reduces financial leakage.</w:t>
            </w:r>
          </w:p>
        </w:tc>
        <w:tc>
          <w:tcPr>
            <w:tcW w:w="3182" w:type="dxa"/>
            <w:tcBorders>
              <w:top w:val="single" w:sz="5" w:space="0" w:color="C0392B"/>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2819E3F2" w14:textId="77777777" w:rsidR="00353A4B" w:rsidRDefault="00353A4B" w:rsidP="00353A4B">
            <w:pPr>
              <w:spacing w:after="30"/>
            </w:pPr>
            <w:r>
              <w:rPr>
                <w:rFonts w:ascii="Segoe UI Emoji" w:eastAsia="Calibri" w:hAnsi="Segoe UI Emoji" w:cs="Segoe UI Emoji"/>
                <w:b/>
                <w:bCs/>
                <w:color w:val="C0392B"/>
                <w:sz w:val="21"/>
                <w:szCs w:val="21"/>
              </w:rPr>
              <w:t>👥</w:t>
            </w:r>
            <w:r>
              <w:rPr>
                <w:rFonts w:ascii="Calibri" w:eastAsia="Calibri" w:hAnsi="Calibri" w:cs="Calibri"/>
                <w:b/>
                <w:bCs/>
                <w:color w:val="C0392B"/>
                <w:sz w:val="21"/>
                <w:szCs w:val="21"/>
              </w:rPr>
              <w:t xml:space="preserve">  Customer Trust</w:t>
            </w:r>
          </w:p>
          <w:p w14:paraId="044A7656" w14:textId="77777777" w:rsidR="00353A4B" w:rsidRDefault="00353A4B" w:rsidP="00353A4B">
            <w:pPr>
              <w:spacing w:before="40" w:after="30"/>
            </w:pPr>
            <w:r>
              <w:rPr>
                <w:rFonts w:ascii="Calibri" w:eastAsia="Calibri" w:hAnsi="Calibri" w:cs="Calibri"/>
                <w:color w:val="333333"/>
                <w:sz w:val="19"/>
                <w:szCs w:val="19"/>
              </w:rPr>
              <w:t>False-positive rate cut to 5–15%. Fewer cards wrongly blocked. Better customer experience.</w:t>
            </w:r>
          </w:p>
        </w:tc>
        <w:tc>
          <w:tcPr>
            <w:tcW w:w="3182" w:type="dxa"/>
            <w:tcBorders>
              <w:top w:val="single" w:sz="5" w:space="0" w:color="02C39A"/>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37AA764B" w14:textId="77777777" w:rsidR="00353A4B" w:rsidRDefault="00353A4B" w:rsidP="00353A4B">
            <w:pPr>
              <w:spacing w:after="30"/>
            </w:pPr>
            <w:r>
              <w:rPr>
                <w:rFonts w:ascii="Segoe UI Emoji" w:eastAsia="Calibri" w:hAnsi="Segoe UI Emoji" w:cs="Segoe UI Emoji"/>
                <w:b/>
                <w:bCs/>
                <w:color w:val="02C39A"/>
                <w:sz w:val="21"/>
                <w:szCs w:val="21"/>
              </w:rPr>
              <w:t>⚡</w:t>
            </w:r>
            <w:r>
              <w:rPr>
                <w:rFonts w:ascii="Calibri" w:eastAsia="Calibri" w:hAnsi="Calibri" w:cs="Calibri"/>
                <w:b/>
                <w:bCs/>
                <w:color w:val="02C39A"/>
                <w:sz w:val="21"/>
                <w:szCs w:val="21"/>
              </w:rPr>
              <w:t xml:space="preserve">  Operational Efficiency</w:t>
            </w:r>
          </w:p>
          <w:p w14:paraId="2188E5CD" w14:textId="77777777" w:rsidR="00353A4B" w:rsidRDefault="00353A4B" w:rsidP="00353A4B">
            <w:pPr>
              <w:spacing w:before="40" w:after="30"/>
            </w:pPr>
            <w:r>
              <w:rPr>
                <w:rFonts w:ascii="Calibri" w:eastAsia="Calibri" w:hAnsi="Calibri" w:cs="Calibri"/>
                <w:color w:val="333333"/>
                <w:sz w:val="19"/>
                <w:szCs w:val="19"/>
              </w:rPr>
              <w:t>Decisions in milliseconds. Analysts freed from manual review to focus on complex investigations.</w:t>
            </w:r>
          </w:p>
        </w:tc>
      </w:tr>
    </w:tbl>
    <w:p w14:paraId="5BCA75C6" w14:textId="0139B7E4" w:rsidR="00251F3F" w:rsidRDefault="00353A4B">
      <w:pPr>
        <w:rPr>
          <w:b/>
          <w:bCs/>
          <w:i/>
          <w:iCs/>
          <w:sz w:val="24"/>
          <w:szCs w:val="24"/>
        </w:rPr>
      </w:pPr>
      <w:r w:rsidRPr="00353A4B">
        <w:rPr>
          <w:b/>
          <w:bCs/>
          <w:i/>
          <w:iCs/>
          <w:sz w:val="24"/>
          <w:szCs w:val="24"/>
        </w:rPr>
        <w:t>Business Value</w:t>
      </w:r>
    </w:p>
    <w:p w14:paraId="7699B174" w14:textId="77777777" w:rsidR="00353A4B" w:rsidRDefault="00353A4B"/>
    <w:sectPr w:rsidR="00353A4B" w:rsidSect="00251F3F">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B2EEB"/>
    <w:multiLevelType w:val="hybridMultilevel"/>
    <w:tmpl w:val="5428D4E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2DA4B7C"/>
    <w:multiLevelType w:val="hybridMultilevel"/>
    <w:tmpl w:val="560EA9E8"/>
    <w:lvl w:ilvl="0" w:tplc="4009000F">
      <w:start w:val="1"/>
      <w:numFmt w:val="decimal"/>
      <w:lvlText w:val="%1."/>
      <w:lvlJc w:val="left"/>
      <w:pPr>
        <w:ind w:left="1360" w:hanging="360"/>
      </w:pPr>
    </w:lvl>
    <w:lvl w:ilvl="1" w:tplc="40090019" w:tentative="1">
      <w:start w:val="1"/>
      <w:numFmt w:val="lowerLetter"/>
      <w:lvlText w:val="%2."/>
      <w:lvlJc w:val="left"/>
      <w:pPr>
        <w:ind w:left="2080" w:hanging="360"/>
      </w:pPr>
    </w:lvl>
    <w:lvl w:ilvl="2" w:tplc="4009001B" w:tentative="1">
      <w:start w:val="1"/>
      <w:numFmt w:val="lowerRoman"/>
      <w:lvlText w:val="%3."/>
      <w:lvlJc w:val="right"/>
      <w:pPr>
        <w:ind w:left="2800" w:hanging="180"/>
      </w:pPr>
    </w:lvl>
    <w:lvl w:ilvl="3" w:tplc="4009000F" w:tentative="1">
      <w:start w:val="1"/>
      <w:numFmt w:val="decimal"/>
      <w:lvlText w:val="%4."/>
      <w:lvlJc w:val="left"/>
      <w:pPr>
        <w:ind w:left="3520" w:hanging="360"/>
      </w:pPr>
    </w:lvl>
    <w:lvl w:ilvl="4" w:tplc="40090019" w:tentative="1">
      <w:start w:val="1"/>
      <w:numFmt w:val="lowerLetter"/>
      <w:lvlText w:val="%5."/>
      <w:lvlJc w:val="left"/>
      <w:pPr>
        <w:ind w:left="4240" w:hanging="360"/>
      </w:pPr>
    </w:lvl>
    <w:lvl w:ilvl="5" w:tplc="4009001B" w:tentative="1">
      <w:start w:val="1"/>
      <w:numFmt w:val="lowerRoman"/>
      <w:lvlText w:val="%6."/>
      <w:lvlJc w:val="right"/>
      <w:pPr>
        <w:ind w:left="4960" w:hanging="180"/>
      </w:pPr>
    </w:lvl>
    <w:lvl w:ilvl="6" w:tplc="4009000F" w:tentative="1">
      <w:start w:val="1"/>
      <w:numFmt w:val="decimal"/>
      <w:lvlText w:val="%7."/>
      <w:lvlJc w:val="left"/>
      <w:pPr>
        <w:ind w:left="5680" w:hanging="360"/>
      </w:pPr>
    </w:lvl>
    <w:lvl w:ilvl="7" w:tplc="40090019" w:tentative="1">
      <w:start w:val="1"/>
      <w:numFmt w:val="lowerLetter"/>
      <w:lvlText w:val="%8."/>
      <w:lvlJc w:val="left"/>
      <w:pPr>
        <w:ind w:left="6400" w:hanging="360"/>
      </w:pPr>
    </w:lvl>
    <w:lvl w:ilvl="8" w:tplc="4009001B" w:tentative="1">
      <w:start w:val="1"/>
      <w:numFmt w:val="lowerRoman"/>
      <w:lvlText w:val="%9."/>
      <w:lvlJc w:val="right"/>
      <w:pPr>
        <w:ind w:left="7120" w:hanging="180"/>
      </w:pPr>
    </w:lvl>
  </w:abstractNum>
  <w:abstractNum w:abstractNumId="2" w15:restartNumberingAfterBreak="0">
    <w:nsid w:val="5E93790E"/>
    <w:multiLevelType w:val="hybridMultilevel"/>
    <w:tmpl w:val="9CF60A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2580E50"/>
    <w:multiLevelType w:val="hybridMultilevel"/>
    <w:tmpl w:val="8A6CD060"/>
    <w:lvl w:ilvl="0" w:tplc="81ECB664">
      <w:start w:val="1"/>
      <w:numFmt w:val="bullet"/>
      <w:lvlText w:val="•"/>
      <w:lvlJc w:val="left"/>
      <w:pPr>
        <w:ind w:left="640" w:hanging="320"/>
      </w:pPr>
    </w:lvl>
    <w:lvl w:ilvl="1" w:tplc="B756EB88">
      <w:numFmt w:val="decimal"/>
      <w:lvlText w:val=""/>
      <w:lvlJc w:val="left"/>
    </w:lvl>
    <w:lvl w:ilvl="2" w:tplc="5D64605C">
      <w:numFmt w:val="decimal"/>
      <w:lvlText w:val=""/>
      <w:lvlJc w:val="left"/>
    </w:lvl>
    <w:lvl w:ilvl="3" w:tplc="2932C526">
      <w:numFmt w:val="decimal"/>
      <w:lvlText w:val=""/>
      <w:lvlJc w:val="left"/>
    </w:lvl>
    <w:lvl w:ilvl="4" w:tplc="BB3EF268">
      <w:numFmt w:val="decimal"/>
      <w:lvlText w:val=""/>
      <w:lvlJc w:val="left"/>
    </w:lvl>
    <w:lvl w:ilvl="5" w:tplc="1EF4C6A4">
      <w:numFmt w:val="decimal"/>
      <w:lvlText w:val=""/>
      <w:lvlJc w:val="left"/>
    </w:lvl>
    <w:lvl w:ilvl="6" w:tplc="03F4EED0">
      <w:numFmt w:val="decimal"/>
      <w:lvlText w:val=""/>
      <w:lvlJc w:val="left"/>
    </w:lvl>
    <w:lvl w:ilvl="7" w:tplc="216ECE06">
      <w:numFmt w:val="decimal"/>
      <w:lvlText w:val=""/>
      <w:lvlJc w:val="left"/>
    </w:lvl>
    <w:lvl w:ilvl="8" w:tplc="67F0D93C">
      <w:numFmt w:val="decimal"/>
      <w:lvlText w:val=""/>
      <w:lvlJc w:val="left"/>
    </w:lvl>
  </w:abstractNum>
  <w:num w:numId="1" w16cid:durableId="493880913">
    <w:abstractNumId w:val="0"/>
  </w:num>
  <w:num w:numId="2" w16cid:durableId="1383405875">
    <w:abstractNumId w:val="3"/>
    <w:lvlOverride w:ilvl="0">
      <w:startOverride w:val="1"/>
    </w:lvlOverride>
  </w:num>
  <w:num w:numId="3" w16cid:durableId="233901997">
    <w:abstractNumId w:val="1"/>
  </w:num>
  <w:num w:numId="4" w16cid:durableId="20036556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F3F"/>
    <w:rsid w:val="000674D0"/>
    <w:rsid w:val="00251F3F"/>
    <w:rsid w:val="002D55ED"/>
    <w:rsid w:val="00353A4B"/>
    <w:rsid w:val="00613196"/>
    <w:rsid w:val="00647CBA"/>
    <w:rsid w:val="00C0100B"/>
    <w:rsid w:val="00E511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DE1F1"/>
  <w15:chartTrackingRefBased/>
  <w15:docId w15:val="{91AC77A3-839E-4119-B9C7-0D25DBC77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1F3F"/>
    <w:pPr>
      <w:spacing w:after="200" w:line="276" w:lineRule="auto"/>
    </w:pPr>
    <w:rPr>
      <w:rFonts w:cs="Shruti"/>
      <w:kern w:val="0"/>
      <w:lang w:bidi="gu-IN"/>
      <w14:ligatures w14:val="none"/>
    </w:rPr>
  </w:style>
  <w:style w:type="paragraph" w:styleId="Heading1">
    <w:name w:val="heading 1"/>
    <w:basedOn w:val="Normal"/>
    <w:next w:val="Normal"/>
    <w:link w:val="Heading1Char"/>
    <w:uiPriority w:val="9"/>
    <w:qFormat/>
    <w:rsid w:val="00251F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1F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1F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1F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1F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1F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1F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1F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1F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1F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1F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1F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1F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1F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1F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1F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1F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1F3F"/>
    <w:rPr>
      <w:rFonts w:eastAsiaTheme="majorEastAsia" w:cstheme="majorBidi"/>
      <w:color w:val="272727" w:themeColor="text1" w:themeTint="D8"/>
    </w:rPr>
  </w:style>
  <w:style w:type="paragraph" w:styleId="Title">
    <w:name w:val="Title"/>
    <w:basedOn w:val="Normal"/>
    <w:next w:val="Normal"/>
    <w:link w:val="TitleChar"/>
    <w:uiPriority w:val="10"/>
    <w:qFormat/>
    <w:rsid w:val="00251F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1F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1F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1F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1F3F"/>
    <w:pPr>
      <w:spacing w:before="160"/>
      <w:jc w:val="center"/>
    </w:pPr>
    <w:rPr>
      <w:i/>
      <w:iCs/>
      <w:color w:val="404040" w:themeColor="text1" w:themeTint="BF"/>
    </w:rPr>
  </w:style>
  <w:style w:type="character" w:customStyle="1" w:styleId="QuoteChar">
    <w:name w:val="Quote Char"/>
    <w:basedOn w:val="DefaultParagraphFont"/>
    <w:link w:val="Quote"/>
    <w:uiPriority w:val="29"/>
    <w:rsid w:val="00251F3F"/>
    <w:rPr>
      <w:i/>
      <w:iCs/>
      <w:color w:val="404040" w:themeColor="text1" w:themeTint="BF"/>
    </w:rPr>
  </w:style>
  <w:style w:type="paragraph" w:styleId="ListParagraph">
    <w:name w:val="List Paragraph"/>
    <w:basedOn w:val="Normal"/>
    <w:qFormat/>
    <w:rsid w:val="00251F3F"/>
    <w:pPr>
      <w:ind w:left="720"/>
      <w:contextualSpacing/>
    </w:pPr>
  </w:style>
  <w:style w:type="character" w:styleId="IntenseEmphasis">
    <w:name w:val="Intense Emphasis"/>
    <w:basedOn w:val="DefaultParagraphFont"/>
    <w:uiPriority w:val="21"/>
    <w:qFormat/>
    <w:rsid w:val="00251F3F"/>
    <w:rPr>
      <w:i/>
      <w:iCs/>
      <w:color w:val="2F5496" w:themeColor="accent1" w:themeShade="BF"/>
    </w:rPr>
  </w:style>
  <w:style w:type="paragraph" w:styleId="IntenseQuote">
    <w:name w:val="Intense Quote"/>
    <w:basedOn w:val="Normal"/>
    <w:next w:val="Normal"/>
    <w:link w:val="IntenseQuoteChar"/>
    <w:uiPriority w:val="30"/>
    <w:qFormat/>
    <w:rsid w:val="00251F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1F3F"/>
    <w:rPr>
      <w:i/>
      <w:iCs/>
      <w:color w:val="2F5496" w:themeColor="accent1" w:themeShade="BF"/>
    </w:rPr>
  </w:style>
  <w:style w:type="character" w:styleId="IntenseReference">
    <w:name w:val="Intense Reference"/>
    <w:basedOn w:val="DefaultParagraphFont"/>
    <w:uiPriority w:val="32"/>
    <w:qFormat/>
    <w:rsid w:val="00251F3F"/>
    <w:rPr>
      <w:b/>
      <w:bCs/>
      <w:smallCaps/>
      <w:color w:val="2F5496" w:themeColor="accent1" w:themeShade="BF"/>
      <w:spacing w:val="5"/>
    </w:rPr>
  </w:style>
  <w:style w:type="table" w:styleId="TableGrid">
    <w:name w:val="Table Grid"/>
    <w:basedOn w:val="TableNormal"/>
    <w:uiPriority w:val="39"/>
    <w:rsid w:val="00353A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7</Pages>
  <Words>956</Words>
  <Characters>5451</Characters>
  <Application>Microsoft Office Word</Application>
  <DocSecurity>0</DocSecurity>
  <Lines>45</Lines>
  <Paragraphs>12</Paragraphs>
  <ScaleCrop>false</ScaleCrop>
  <Company/>
  <LinksUpToDate>false</LinksUpToDate>
  <CharactersWithSpaces>6395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agarwal108t@gmail.com</dc:creator>
  <cp:keywords/>
  <dc:description/>
  <cp:lastModifiedBy>agarwal108t@gmail.com</cp:lastModifiedBy>
  <cp:revision>1</cp:revision>
  <dcterms:created xsi:type="dcterms:W3CDTF">2026-03-12T18:34:00Z</dcterms:created>
  <dcterms:modified xsi:type="dcterms:W3CDTF">2026-03-13T11:06:00Z</dcterms:modified>
</cp:coreProperties>
</file>