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LATTE: Latent Type Modeling for Biomedical Entity Linking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Published → AAAI -2020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Description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 Entity Linking task , same as previous paper.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precise semantic type info is known for mentions , disambiguation becomes easier 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Fine graining is the process of genrationg(unsupervised) semantic types other than that are already present in umls using known types during learning (known types used are umls types for now).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UMLS , there are only 128 semantic types but  80k concepts so need for more specific type information can help in linking task.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 →the entities Type 2 Diabetes Mellitus and Parkinson Disease both have the semantic type Disease or Syndrome, but the former is a metabolic disorder, while the latter is a nervous system disorder. In this case, the finer-grained type can be the body system where the disease occur.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Importance of problem→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Accurate entity disambiguation is crucial to the understanding of biomedical context.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Many distinct biomedical concepts can have very similar mentions, and failure in disambiguation will lead to incorrect interpretation of the entire context. This will introduce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huge risks in medical-related decision making.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Limitations of previous work→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Mentions in bio domain are inherently ambiguous (not in the sense of actual ambiguency of language but a resolvable task to be acomplished).So , better the contextual representation ,better the resolution of ambiguency 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only surface level features are used it will bring ambiguity (enough context to be learned is not there to be learned ) 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, on candidate side , semantic similarity can be high , it is also a problem(one to many mapping).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Neural model used in web are hence not effective in this domain( due to long spans and inherent disambiguation in entities and mentions 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Intution of current work→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Latte is neural network based model which genrates latent types for mentions and entities , based on their implicit attributes . which contribute in the simillarity score between mention and candidate to enhance the accurarcy of linking and disambiguation task. </w:t>
      </w:r>
      <w:r w:rsidDel="00000000" w:rsidR="00000000" w:rsidRPr="00000000">
        <w:rPr>
          <w:rtl w:val="0"/>
        </w:rPr>
        <w:t xml:space="preserve"> Latte does entity disambiguation along with type learning 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jointly utillize the score generated on basis of interaction between mention and candidate and score from latent type generated similarity.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Model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Motivation is to model the latent fine-grained types for all the entities in the knowledge-base without direct supervision 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Ground truths are the actual findings of fine graining which are not available with us , leading to treating fine graining as latent work of modelling.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Constraints → Binary pairwise relation constraint &amp; type hierarchy constraint( not clear why they are termed as constraints 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type classifiers are sharing weights between them  and The similarity of the two output latent type distributions is used as another mention-candidate similarity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score. 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Layers of the model:</w:t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Superscripts p and c for mention and candidate sequences respectively,</w:t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mand n denote their corresponding sequence lengths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Embedding Layer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This layer of model is responsible for generating embeddings for the input in form of mention sequence and candidate sequence 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I/P → word tokens as </w:t>
      </w:r>
      <w:r w:rsidDel="00000000" w:rsidR="00000000" w:rsidRPr="00000000">
        <w:rPr/>
        <w:drawing>
          <wp:inline distB="114300" distT="114300" distL="114300" distR="114300">
            <wp:extent cx="1641699" cy="19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1699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for the mention and the candidate sequences respectively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O/P→</w:t>
      </w:r>
      <w:r w:rsidDel="00000000" w:rsidR="00000000" w:rsidRPr="00000000">
        <w:rPr/>
        <w:drawing>
          <wp:inline distB="114300" distT="114300" distL="114300" distR="114300">
            <wp:extent cx="1262881" cy="190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2881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, embeddings for each word token.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 resolve OOV words problem &amp; utillize word level interaction , embedings are modified to first character level (using glove)interaction , concenated and passed through neural net then to get word embeddings as final o/p.(char embedding concenated , passed through nn then result is concenated with word embedding pre obt from glove)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6691313" cy="39909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Encoder layer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I/P - output of  embedding layer that is ei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O/p-contextual representation as </w:t>
      </w:r>
      <w:r w:rsidDel="00000000" w:rsidR="00000000" w:rsidRPr="00000000">
        <w:rPr/>
        <w:drawing>
          <wp:inline distB="114300" distT="114300" distL="114300" distR="114300">
            <wp:extent cx="1143000" cy="190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for the sequences.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Cross attention layer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I/P →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interaction bet Uip and Uic , Output is a matrix S which contains sij as score of interaction 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O/P →This sij is used to calculate attention mention to candidate and candidate to                        mention→in form of attended vector Xj , all attended vector concatenated to form X for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attention based relevence score between two sequences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(output of this layer is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Task 2→ takes op of encoder layer as ip , concatenates them for mention and candidates. Further passed over FFN and softmax to get probability distribution over k types ( to which it is more similar) 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Now this distribution are compared for G using cosine 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Type classifier are used which takes encoded representation to generate latent types.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Experiments and Results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During training it requires types for minimizing loss to earn type generation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Dataset used → MedMention (made of UMLS concepts) ,de-identified corpus of dictated doctor’s notes (annotated with ICD concepts).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→ mention phrase with words Wp1 wp2 etc .p , set of candidates c1 c2 c3  , model gives relevance score for each R(p,c). Word token for mention and candidate sequence respectively 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Input format might be similar to last paper and it was better explained there 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Embedding layer→ char to char to word (either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L1(char &amp; word embedding ) → Lstm for contextual representation → cross attention layer record relevance between mention and candidate (o/p is S a matrix recording score of interaction between each pair m*n entries ) → mention to candidate and candidate to mention score → attended vector to score relevance between sequences 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Sequence for latent entity type classifier → encoder se o/p → fixed dimen vector for mention and candidate → probability distribution over k latent types 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G score → cosine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similarity→how type is generated → supervised known type classifier (trained to predict entity type) takes represe and applies relu  →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