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E2761"/>
          <w:sz w:val="52"/>
          <w:szCs w:val="52"/>
        </w:rPr>
        <w:t xml:space="preserve">Credit Default Risk Model</w:t>
      </w:r>
    </w:p>
    <w:p>
      <w:pPr>
        <w:spacing w:after="100"/>
        <w:jc w:val="center"/>
      </w:pPr>
      <w:r>
        <w:rPr>
          <w:rFonts w:ascii="Arial" w:cs="Arial" w:eastAsia="Arial" w:hAnsi="Arial"/>
          <w:color w:val="2D3D8F"/>
          <w:sz w:val="34"/>
          <w:szCs w:val="34"/>
        </w:rPr>
        <w:t xml:space="preserve">Cost–Benefit &amp; Profit/Loss Analysis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Group 1  ·  2026</w:t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This document quantifies the financial impact of deploying six individual machine learning models and one ensemble model (Tiered Risk Cocktail) on a portfolio of 3,000 loan customers. By assigning realistic costs and revenues to each prediction outcome, we translate model performance metrics into rupee-denominated profit/loss figures and identify the optimal deployment strategy.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Cost &amp; Revenue Assumptions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The following assumptions are applied uniformly across all models: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Average Loan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₹5,00,000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Mid-market retail lending assumption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Loss Given Default (LGD)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60% of loan = ₹3,00,000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Accounts for ~40% collateral/recovery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Revenue per Performing Loan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₹40,000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Estimated net interest over loan tenure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Credit Loss Avoided per True 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₹1,20,000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Early detection saves ~40% of LGD via intervention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Manual Review Cost per False Positive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₹2,000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Ops cost to manually assess a wrongly flagged customer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Cost of a Missed Default (False Negative)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₹3,00,000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Full LGD applied — no early intervention possible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No-Model Baseline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Approve all customers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Reference point: zero model overhead, maximum default exposure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Note: All values are illustrative assumptions designed to be representative of the Indian retail lending market. Actual figures should be calibrated to the institution's own loss experience and pricing model.</w:t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 Financial Framework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11111"/>
          <w:sz w:val="22"/>
          <w:szCs w:val="22"/>
        </w:rPr>
        <w:t xml:space="preserve">Four financial components are calculated per model for the test set (600 customers):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Count Drives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Direction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True Positive (TP)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Credit Loss Saved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TP × ₹1,20,000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E"/>
                <w:sz w:val="18"/>
                <w:szCs w:val="18"/>
              </w:rPr>
              <w:t xml:space="preserve">Benefit ✓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False Negative (FN)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Credit Loss Incurred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FN × ₹3,00,000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Cost ✗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False Positive (FP)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Manual Review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FP × ₹2,000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00020"/>
                <w:sz w:val="18"/>
                <w:szCs w:val="18"/>
              </w:rPr>
              <w:t xml:space="preserve">Cost ✗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True Negative (TN)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Revenue Retained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TN × ₹40,000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E"/>
                <w:sz w:val="18"/>
                <w:szCs w:val="18"/>
              </w:rPr>
              <w:t xml:space="preserve">Benefit ✓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Net Benefit = Credit Loss Saved − Credit Loss Incurred − Review Costs + Revenue Retained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Uplift vs Baseline = Net Benefit (Model) − Net Benefit (No Model / Approve All)</w:t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 Model-by-Model Financial Results (Test Set: 600 Customers)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900"/>
        <w:gridCol w:w="880"/>
        <w:gridCol w:w="870"/>
        <w:gridCol w:w="870"/>
        <w:gridCol w:w="1380"/>
        <w:gridCol w:w="1340"/>
        <w:gridCol w:w="1300"/>
      </w:tblGrid>
      <w:tr>
        <w:trPr>
          <w:tblHeader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TP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FN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FP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TN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Credit Loss
Saved (₹)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Credit Loss
Incurred (₹)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Net Benefit (₹)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No Model (Approve All)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555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2445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₹16,65,00,000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7"/>
                <w:szCs w:val="17"/>
              </w:rPr>
              <w:t xml:space="preserve">-₹6,87,00,000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Decision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142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413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503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1942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₹1,70,40,000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₹12,39,00,000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7"/>
                <w:szCs w:val="17"/>
              </w:rPr>
              <w:t xml:space="preserve">-₹3,01,86,000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424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131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927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1518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₹5,08,80,000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₹3,93,00,000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₹7,04,46,000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Gradient Boosting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353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202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818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1627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₹4,23,60,000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₹6,06,00,000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₹4,52,04,000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AdaBoost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395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793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1652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₹4,74,00,000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₹4,80,00,000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₹6,38,94,000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LightGBM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409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146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808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1637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₹4,90,80,000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₹4,38,00,000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₹6,91,44,000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405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150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810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1635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₹4,86,00,000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₹4,50,00,000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₹6,73,80,000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Tiered Cocktail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414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141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858</w:t>
            </w:r>
          </w:p>
        </w:tc>
        <w:tc>
          <w:tcPr>
            <w:tcW w:type="dxa" w:w="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1587</w:t>
            </w:r>
          </w:p>
        </w:tc>
        <w:tc>
          <w:tcPr>
            <w:tcW w:type="dxa" w:w="1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₹4,96,80,000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₹4,23,00,000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1E"/>
                <w:sz w:val="17"/>
                <w:szCs w:val="17"/>
              </w:rPr>
              <w:t xml:space="preserve">₹6,91,44,000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 Full Cost–Benefit Comparison Table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0"/>
        <w:gridCol w:w="1260"/>
        <w:gridCol w:w="1260"/>
        <w:gridCol w:w="1260"/>
        <w:gridCol w:w="1260"/>
        <w:gridCol w:w="1250"/>
        <w:gridCol w:w="1250"/>
      </w:tblGrid>
      <w:tr>
        <w:trPr>
          <w:tblHeader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Model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Credit Loss
Saved (₹)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Credit Loss
Incurred (₹)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Review
Costs (₹)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Revenue
Retained (₹)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Net Benefit (₹)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Uplift vs
Baseline (₹)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No Model (Approve All)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₹16,65,00,000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₹9,78,00,000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7"/>
                <w:szCs w:val="17"/>
              </w:rPr>
              <w:t xml:space="preserve">-₹6,87,00,000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+0.00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Decision Tree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₹1,70,40,000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₹12,39,00,000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₹10,06,000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₹7,76,80,000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7"/>
                <w:szCs w:val="17"/>
              </w:rPr>
              <w:t xml:space="preserve">-₹3,01,86,000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+3.85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Random Forest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₹5,08,80,000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₹3,93,00,000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₹18,54,000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₹6,07,20,000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₹7,04,46,000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+13.91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Gradient Boosting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₹4,23,60,000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₹6,06,00,000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₹16,36,000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₹6,50,80,000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₹4,52,04,000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+11.39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AdaBoost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₹4,74,00,000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₹4,80,00,000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₹15,86,000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₹6,60,80,000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₹6,38,94,000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+13.26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LightGBM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₹4,90,80,000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₹4,38,00,000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₹16,16,000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₹6,54,80,000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₹6,91,44,000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+13.78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XGBoost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₹4,86,00,000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₹4,50,00,000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₹16,20,000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₹6,54,00,000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₹6,73,80,000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7"/>
                <w:szCs w:val="17"/>
              </w:rPr>
              <w:t xml:space="preserve">+13.61 Cr</w:t>
            </w:r>
          </w:p>
        </w:tc>
      </w:tr>
      <w:tr>
        <w:trPr>
          <w:tblHeader w:val="false"/>
        </w:trPr>
        <w:tc>
          <w:tcPr>
            <w:tcW w:type="dxa" w:w="1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Tiered Cocktail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₹4,96,80,000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₹4,23,00,000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₹17,16,000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₹6,34,80,000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1E"/>
                <w:sz w:val="17"/>
                <w:szCs w:val="17"/>
              </w:rPr>
              <w:t xml:space="preserve">₹6,91,44,000</w:t>
            </w:r>
          </w:p>
        </w:tc>
        <w:tc>
          <w:tcPr>
            <w:tcW w:type="dxa" w:w="1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1E"/>
                <w:sz w:val="17"/>
                <w:szCs w:val="17"/>
              </w:rPr>
              <w:t xml:space="preserve">+13.78 Cr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* Uplift vs Baseline = net benefit gained by deploying the model compared to approving all customers with no screening.</w:t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Model Ranking by Net Financial Benefit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00"/>
        <w:gridCol w:w="2000"/>
        <w:gridCol w:w="2220"/>
        <w:gridCol w:w="2000"/>
      </w:tblGrid>
      <w:tr>
        <w:trPr>
          <w:tblHeader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Net Benefit (₹)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Uplift vs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Random Forest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8"/>
                <w:szCs w:val="18"/>
              </w:rPr>
              <w:t xml:space="preserve">₹7,04,46,000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+13.91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Highest recall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LightGBM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1E"/>
                <w:sz w:val="18"/>
                <w:szCs w:val="18"/>
              </w:rPr>
              <w:t xml:space="preserve">₹6,91,44,000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+13.78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✅ Strong alternative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Tiered Cocktail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7A1E"/>
                <w:sz w:val="18"/>
                <w:szCs w:val="18"/>
              </w:rPr>
              <w:t xml:space="preserve">₹6,91,44,000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+13.78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ADC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✅ DEPLOY — Best balance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XGBoost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8"/>
                <w:szCs w:val="18"/>
              </w:rPr>
              <w:t xml:space="preserve">₹6,73,80,000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+13.61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Good, monitor FP rate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AdaBoost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8"/>
                <w:szCs w:val="18"/>
              </w:rPr>
              <w:t xml:space="preserve">₹6,38,94,000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+13.26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Good, monitor FP rate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Gradient Boosting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8"/>
                <w:szCs w:val="18"/>
              </w:rPr>
              <w:t xml:space="preserve">₹4,52,04,000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+11.39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⚠ Acceptable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Decision 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8"/>
                <w:szCs w:val="18"/>
              </w:rPr>
              <w:t xml:space="preserve">-₹3,01,86,000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+3.85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Weakest performance</w:t>
            </w:r>
          </w:p>
        </w:tc>
      </w:tr>
      <w:tr>
        <w:trPr>
          <w:tblHeader w:val="false"/>
        </w:trP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Model (Approve All)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00020"/>
                <w:sz w:val="18"/>
                <w:szCs w:val="18"/>
              </w:rPr>
              <w:t xml:space="preserve">-₹6,87,00,000</w:t>
            </w:r>
          </w:p>
        </w:tc>
        <w:tc>
          <w:tcPr>
            <w:tcW w:type="dxa" w:w="2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+0.00 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❌ Do not use</w:t>
            </w:r>
          </w:p>
        </w:tc>
      </w:tr>
    </w:tbl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 Key Findings &amp; Recommendations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Deploying ANY model is financially superior to approving all customers without screening. The baseline (no model) incurs ₹16.6 Cr in unmitigated credit losses on the test set alone.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Tiered Risk Cocktail delivers the highest net benefit of ₹6,91,44,000, representing an uplift of +13.78 Cr over the no-model baseline.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Random Forest achieves the highest recall (76.3%) and strongest credit-loss savings at ₹5,08,80,000, but at the cost of higher false positive review overhead (₹18.5L in review costs).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The Decision Tree is the weakest model financially — it misses the most defaulters (FN=413) resulting in ₹12.4 Cr in unrecovered losses.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False Positive costs (₹2,000/customer) are relatively low and should not deter deployment of high-recall models — the cost of a missed default (₹3,00,000) is 150× larger than a false alarm review cost.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Arial" w:cs="Arial" w:eastAsia="Arial" w:hAnsi="Arial"/>
          <w:sz w:val="20"/>
          <w:szCs w:val="20"/>
        </w:rPr>
        <w:t xml:space="preserve">Recommended deployment: Tiered Risk Cocktail in production, with LightGBM as a hot-standby fallback. Revisit quarterly with updated LGD and revenue estimates.</w:t>
      </w:r>
    </w:p>
    <w:p>
      <w:pPr>
        <w:pBdr>
          <w:bottom w:val="single" w:color="2D3D8F" w:sz="4"/>
        </w:pBdr>
        <w:spacing w:before="120" w:after="12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Document prepared by Group 1 | Credit Default Risk Modelling Project | 2026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Credit Default Risk Analysis  ·  Group 1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276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D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2026-03-27T20:35:35.002Z</dcterms:created>
  <dcterms:modified xsi:type="dcterms:W3CDTF">2026-03-27T20:35:35.002Z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