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11827"/>
          <w:sz w:val="48"/>
        </w:rPr>
        <w:t>Variant 1: Variant 1 Clinical</w:t>
      </w:r>
    </w:p>
    <w:p>
      <w:r>
        <w:rPr>
          <w:i/>
          <w:color w:val="6B7280"/>
          <w:sz w:val="19"/>
        </w:rPr>
        <w:t>Synthesized by Human Writing Engine | Publication-Ready Standard</w:t>
      </w:r>
    </w:p>
    <w:p/>
    <w:p>
      <w:pPr>
        <w:pStyle w:val="Heading2"/>
      </w:pPr>
      <w:r>
        <w:rPr>
          <w:color w:val="1F2937"/>
        </w:rPr>
        <w:t>Variant 1: Variant 1 Clinical</w:t>
      </w:r>
    </w:p>
    <w:p>
      <w:pPr>
        <w:spacing w:line="276" w:lineRule="auto" w:after="160"/>
      </w:pPr>
      <w:r>
        <w:t>Protecting Patients</w:t>
        <w:br/>
        <w:br/>
        <w:t>Synthesized by Human Writing Engine | Publication-Ready Standard</w:t>
        <w:br/>
        <w:br/>
        <w:t>Near-Expiry Medicines</w:t>
        <w:br/>
        <w:br/>
        <w:t>From a clinical governance standpoint, ensuring pharmaceutical integrity is paramount. Every medication is tracked by batch.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