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11827"/>
          <w:sz w:val="48"/>
        </w:rPr>
        <w:t>Variant 2: Variant 2 Conversational</w:t>
      </w:r>
    </w:p>
    <w:p>
      <w:r>
        <w:rPr>
          <w:i/>
          <w:color w:val="6B7280"/>
          <w:sz w:val="19"/>
        </w:rPr>
        <w:t>Synthesized by Human Writing Engine | Publication-Ready Standard</w:t>
      </w:r>
    </w:p>
    <w:p/>
    <w:p>
      <w:pPr>
        <w:pStyle w:val="Heading2"/>
      </w:pPr>
      <w:r>
        <w:rPr>
          <w:color w:val="1F2937"/>
        </w:rPr>
        <w:t>Variant 2: Variant 2 Conversational</w:t>
      </w:r>
    </w:p>
    <w:p>
      <w:pPr>
        <w:spacing w:line="276" w:lineRule="auto" w:after="160"/>
      </w:pPr>
      <w:r>
        <w:t>Protecting Patients</w:t>
        <w:br/>
        <w:br/>
        <w:t>Synthesized by Human Writing Engine | Publication-Ready Standard</w:t>
        <w:br/>
        <w:br/>
        <w:t>Near-Expiry Medicines</w:t>
        <w:br/>
        <w:br/>
        <w:t>Have you ever wondered how prescriptions are verified before arriving at your doorstep? Our inventory system flags near-expiry items 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