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11827"/>
          <w:sz w:val="48"/>
        </w:rPr>
        <w:t>Variant 3: Variant 3 Patient Safety</w:t>
      </w:r>
    </w:p>
    <w:p>
      <w:r>
        <w:rPr>
          <w:i/>
          <w:color w:val="6B7280"/>
          <w:sz w:val="19"/>
        </w:rPr>
        <w:t>Synthesized by Human Writing Engine | Publication-Ready Standard</w:t>
      </w:r>
    </w:p>
    <w:p/>
    <w:p>
      <w:pPr>
        <w:pStyle w:val="Heading2"/>
      </w:pPr>
      <w:r>
        <w:rPr>
          <w:color w:val="1F2937"/>
        </w:rPr>
        <w:t>Variant 3: Variant 3 Patient Safety</w:t>
      </w:r>
    </w:p>
    <w:p>
      <w:pPr>
        <w:spacing w:line="276" w:lineRule="auto" w:after="160"/>
      </w:pPr>
      <w:r>
        <w:t>Protecting Patients</w:t>
        <w:br/>
        <w:br/>
        <w:t>Synthesized by Human Writing Engine | Publication-Ready Standard</w:t>
        <w:br/>
        <w:br/>
        <w:t>Near-Expiry Medicines</w:t>
        <w:br/>
        <w:br/>
        <w:t>Your health and safety are the top priority when receiving any healthcare order. Items near expiry are immediately removed from active stock.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