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Optimizing Plane Design Using CFD Analysis</w:t>
      </w:r>
    </w:p>
    <w:p>
      <w:pPr>
        <w:spacing w:after="140"/>
      </w:pPr>
      <w:r>
        <w:t xml:space="preserve">A parametric CFD study of </w:t>
      </w:r>
      <w:r>
        <w:rPr>
          <w:b/>
          <w:bCs/>
        </w:rPr>
        <w:t xml:space="preserve">CDF-62</w:t>
      </w:r>
      <w:r>
        <w:t xml:space="preserve">, a twin-jet transport-aircraft concept modelled at 1:100 scale. Three wing shapes, three fuselage shapes and three tail layouts were simulated one change at a time against a baseline, and the best option from each group was combined into a final design.</w:t>
      </w:r>
    </w:p>
    <w:p>
      <w:pPr>
        <w:spacing w:before="120"/>
        <w:jc w:val="center"/>
      </w:pPr>
      <w:r>
        <w:drawing>
          <wp:inline distT="0" distB="0" distL="0" distR="0">
            <wp:extent cx="59055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All eight configurations (1:100 model)</w:t>
      </w:r>
    </w:p>
    <w:p>
      <w:pPr>
        <w:pStyle w:val="Heading1"/>
      </w:pPr>
      <w:r>
        <w:t xml:space="preserve">Result</w:t>
      </w:r>
    </w:p>
    <w:p>
      <w:pPr>
        <w:spacing w:after="140"/>
      </w:pPr>
      <w:r>
        <w:t xml:space="preserve">The final design, </w:t>
      </w:r>
      <w:r>
        <w:rPr>
          <w:b/>
          <w:bCs/>
        </w:rPr>
        <w:t xml:space="preserve">W2F2T3</w:t>
      </w:r>
      <w:r>
        <w:t xml:space="preserve"> (27° wing sweep, ogive nose, V-tail), improved on the baseline in every headline metric: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Baseline W1F1T1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Final W2F2T3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Maximum L/D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+7.8%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Minimum CD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0.0341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0.0334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−2.1%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Lift-curve slope CLα (per rad)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+3.9%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Pitch stability CMα (per rad)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−0.65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−0.85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31% more stable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334000" cy="38290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Final design W2F2T3: perspective, top, side and front views</w:t>
      </w:r>
    </w:p>
    <w:p>
      <w:pPr>
        <w:pStyle w:val="Heading1"/>
      </w:pPr>
      <w:r>
        <w:t xml:space="preserve">Design variables</w:t>
      </w:r>
    </w:p>
    <w:p>
      <w:pPr>
        <w:spacing w:after="140"/>
      </w:pPr>
      <w:r>
        <w:t xml:space="preserve">Each configuration is named W#F#T# (wing, fuselage, tail). The baseline is W1F1T1.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3100"/>
        <w:gridCol w:w="28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Wing (W)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Fuselage (F)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Tail (T)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35° leading-edge sweep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Elliptical nose, 1.8 m tail upsweep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Conventional (fin + low tailplane)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27° leading-edge sweep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Tangent-ogive nose, 13 m long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T-tail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35° sweep + blended winglet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tail upsweep (3.2 m), later tail-cone start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V-tail (38.6° dihedral)</w:t>
            </w:r>
          </w:p>
        </w:tc>
      </w:tr>
    </w:tbl>
    <w:p>
      <w:pPr>
        <w:spacing w:after="140" w:before="160"/>
      </w:pPr>
      <w:r>
        <w:t xml:space="preserve">Common geometry (full scale): 62 m fuselage, 6.2 m diameter, 58.76 m projected span, low wing with 5° dihedral, NASA SC(2) supercritical airfoils (14% root to 10% tip), NACA 0010 tail surfaces. Projected span and mean-chord position are held constant across wing variants so comparisons are like-for-like.</w:t>
      </w:r>
    </w:p>
    <w:p>
      <w:pPr>
        <w:pStyle w:val="Heading1"/>
      </w:pPr>
      <w:r>
        <w:t xml:space="preserve">All configurations</w:t>
      </w:r>
    </w:p>
    <w:p>
      <w:pPr>
        <w:spacing w:after="140"/>
      </w:pPr>
      <w:r>
        <w:t xml:space="preserve">Coarse mesh, U = 20 m/s, angle of attack −4° to 14°.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6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 from baseline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 L/D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 CD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CLα (/rad)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CMα (/rad)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W1F1T1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0.0341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−0.65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W2F1T1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27° sweep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0.0348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−0.57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W3F1T1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Winglet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0.0341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3.94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−0.54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W1F2T1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Ogive nose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0.0336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−0.70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W1F3T1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 upsweep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0.0362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4.06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−0.61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W1F1T2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T-tail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−1.15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W1F1T3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V-tail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0.0331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−0.87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W2F2T3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Combined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9.7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0.0334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4.24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−0.85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5905500" cy="36671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Summary of all configurations</w:t>
      </w:r>
    </w:p>
    <w:p>
      <w:pPr>
        <w:pStyle w:val="Heading2"/>
      </w:pPr>
      <w:r>
        <w:t xml:space="preserve">Findings by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Wing.</w:t>
      </w:r>
      <w:r>
        <w:t xml:space="preserve"> Reducing sweep to 27° gave the best L/D and lift slope. The winglet (W3) did not pay off at this Reynolds number: same minimum drag, lower lift slope.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Fuselage.</w:t>
      </w:r>
      <w:r>
        <w:t xml:space="preserve"> The ogive nose cut minimum drag and slightly improved stability. The high-upsweep tail cone added the most drag of any variant.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Tail.</w:t>
      </w:r>
      <w:r>
        <w:t xml:space="preserve"> The T-tail was by far the most stable (CMα −1.15) but cost L/D. The V-tail had the lowest drag of the whole study while still being much more stable than the baseline, so it was picked for the final design.</w:t>
      </w:r>
    </w:p>
    <w:p>
      <w:pPr>
        <w:pStyle w:val="Heading2"/>
      </w:pPr>
      <w:r>
        <w:t xml:space="preserve">Combined design</w:t>
      </w:r>
    </w:p>
    <w:p>
      <w:pPr>
        <w:spacing w:before="120"/>
        <w:jc w:val="center"/>
      </w:pPr>
      <w:r>
        <w:drawing>
          <wp:inline distT="0" distB="0" distL="0" distR="0">
            <wp:extent cx="5715000" cy="41433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Combined study polars: baseline, V-tail only, and final design</w:t>
      </w:r>
    </w:p>
    <w:p>
      <w:pPr>
        <w:spacing w:after="140"/>
      </w:pPr>
      <w:r>
        <w:t xml:space="preserve">The combined design has the highest L/D peak (around 4° AoA) and the steepest stable pitching-moment slope. One trade-off to note: above about 12° its lift curve flattens and drops earlier than the baseline, so its stall margin is smaller.</w:t>
      </w:r>
    </w:p>
    <w:p>
      <w:pPr>
        <w:spacing w:after="140"/>
      </w:pPr>
      <w:r>
        <w:t xml:space="preserve">Polars for each group are in the plots folder (compare_wing.png, compare_fuselage.png, compare_tail.png). Pitching moment is taken about x = 336.8 mm on the 1:100 model.</w:t>
      </w:r>
    </w:p>
    <w:p>
      <w:pPr>
        <w:pStyle w:val="Heading1"/>
      </w:pPr>
      <w:r>
        <w:t xml:space="preserve">Repository layout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models/scad/   Parametric OpenSCAD source, one file per configuration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models/stl/    Exported 1:100 meshes (millimetres)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plots/         Polars and summary charts from the CFD runs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docs/images/   Renders of the configurations</w:t>
      </w:r>
    </w:p>
    <w:p>
      <w:pPr>
        <w:spacing w:after="140"/>
      </w:pPr>
    </w:p>
    <w:p>
      <w:pPr>
        <w:pStyle w:val="Heading1"/>
      </w:pPr>
      <w:r>
        <w:t xml:space="preserve">Using the models</w:t>
      </w:r>
    </w:p>
    <w:p>
      <w:pPr>
        <w:spacing w:after="140"/>
      </w:pPr>
      <w:r>
        <w:t xml:space="preserve">The .scad files are all the same parametric model, each pre-set to one configuration with three switches at the top: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wing_type = 2;   // 1 = 35° sweep, 2 = 27° sweep, 3 = winglet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fuse_type = 2;   // 1 = baseline, 2 = ogive nose, 3 = high upsweep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tail_type = 3;   // 1 = conventional, 2 = T-tail, 3 = V-tail</w:t>
      </w:r>
    </w:p>
    <w:p>
      <w:pPr>
        <w:spacing w:after="140"/>
      </w:pPr>
    </w:p>
    <w:p>
      <w:pPr>
        <w:spacing w:after="140"/>
      </w:pPr>
      <w:r>
        <w:t xml:space="preserve">Other settings: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units = 10 exports millimetres of the 1:100 model (for printing); units = 0.01 exports metres of the 1:100 model (for CFD meshing).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selects "assembly" or a printable part: "fuselage_shell", "wing_right", "wing_left", "tail", or "cutaway" (preview with internal components).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te_min sets a minimum trailing-edge thickness. Keep 0 for CFD; use 0.05 (0.5 mm on the print) for FDM printing.</w:t>
      </w:r>
    </w:p>
    <w:p>
      <w:pPr>
        <w:spacing w:after="140"/>
      </w:pPr>
      <w:r>
        <w:t xml:space="preserve">Open in OpenSCAD 2021.01 or newer, render with F6, then File &gt; Export &gt; STL. Fusion 360 can't open .scad files directly, so import the STL instead.</w:t>
      </w:r>
    </w:p>
    <w:p>
      <w:pPr>
        <w:spacing w:after="140"/>
      </w:pPr>
      <w:r>
        <w:t xml:space="preserve">The printable layout is sized for a 1:100 flying model: 1.2 mm skin, a 6 mm carbon spar tube from root to kink, a top hatch, and space for a 3S 850 mAh LiPo, 30 A ESC, receiver, tail servo and 40 mm EDF.</w:t>
      </w:r>
    </w:p>
    <w:p>
      <w:pPr>
        <w:pStyle w:val="Heading1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results are from a </w:t>
      </w:r>
      <w:r>
        <w:rPr>
          <w:b/>
          <w:bCs/>
        </w:rPr>
        <w:t xml:space="preserve">coarse mesh</w:t>
      </w:r>
      <w:r>
        <w:t xml:space="preserve">; a mesh-independence study is still needed before quoting absolute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are at U = 20 m/s on a 1:100 model, so the Reynolds number is far below full scale. Trends between configurations are more reliable than absolute coefficients.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group was varied with the other two held at baseline; interaction effects were only checked for the one combined design.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a88e76b1ca11199c46201848d3ed863e6eef507.png"/><Relationship Id="rId8" Type="http://schemas.openxmlformats.org/officeDocument/2006/relationships/image" Target="media/448e240e9c0184830dfef2004b7efac9ec0ae3d7.png"/><Relationship Id="rId9" Type="http://schemas.openxmlformats.org/officeDocument/2006/relationships/image" Target="media/935ac43c91a77c7f2fdf5466697d9bec59d729b1.png"/><Relationship Id="rId10" Type="http://schemas.openxmlformats.org/officeDocument/2006/relationships/image" Target="media/fb7f8f726bd344b768ec43d96117cd82a599399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Optimizing Plane Design Using CFD Analysis</dc:title>
  <dc:creator>Rishabh Sudheer</dc:creator>
  <cp:lastModifiedBy>Rishabh Sudheer</cp:lastModifiedBy>
  <cp:revision>1</cp:revision>
  <dcterms:created xsi:type="dcterms:W3CDTF">2026-10-27T05:06:24.106Z</dcterms:created>
  <dcterms:modified xsi:type="dcterms:W3CDTF">2026-10-27T05:06:24.110Z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