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D2DF" w14:textId="7ED92CA3" w:rsidR="00752916" w:rsidRDefault="00C565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Expectations</w:t>
      </w:r>
    </w:p>
    <w:p w14:paraId="6C925AF4" w14:textId="11DF0E4C" w:rsidR="00C565FB" w:rsidRDefault="00C565F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Forecast:</w:t>
      </w:r>
    </w:p>
    <w:p w14:paraId="319A91FB" w14:textId="478AD676" w:rsidR="00C565FB" w:rsidRDefault="0006703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Keeping in mind of all the key assumptions discussed in Finance Plan section, we are expecting to generate a net income, without incurring any losses. </w:t>
      </w:r>
      <w:r w:rsidR="003356C6">
        <w:rPr>
          <w:rFonts w:ascii="Times New Roman" w:hAnsi="Times New Roman" w:cs="Times New Roman"/>
          <w:szCs w:val="24"/>
        </w:rPr>
        <w:t xml:space="preserve">Our future goal would be to introduce more services and to monetize them to generate revenue. Also, since bootstrapping is used, risk of loan repayments is not present. </w:t>
      </w:r>
    </w:p>
    <w:p w14:paraId="22428798" w14:textId="3FF1961E" w:rsidR="003356C6" w:rsidRPr="00067033" w:rsidRDefault="003356C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Next year, we are planning for a total sale of $4.58 million, which is $0.32 million greater than the current year’s sale prediction. Thus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, if implemented as planned, it would be of good success of the plan.</w:t>
      </w:r>
    </w:p>
    <w:p w14:paraId="055F987C" w14:textId="77777777" w:rsidR="00A15F1A" w:rsidRDefault="00A15F1A">
      <w:pPr>
        <w:rPr>
          <w:rFonts w:ascii="Times New Roman" w:hAnsi="Times New Roman" w:cs="Times New Roman"/>
          <w:b/>
          <w:szCs w:val="24"/>
        </w:rPr>
      </w:pPr>
    </w:p>
    <w:p w14:paraId="108B2897" w14:textId="62A5B5A0" w:rsidR="00C565FB" w:rsidRDefault="00C565FB" w:rsidP="00C565F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</w:t>
      </w:r>
      <w:r>
        <w:rPr>
          <w:rFonts w:ascii="Times New Roman" w:hAnsi="Times New Roman" w:cs="Times New Roman"/>
          <w:b/>
          <w:szCs w:val="24"/>
        </w:rPr>
        <w:t>inancial Highlights by Year</w:t>
      </w:r>
      <w:r>
        <w:rPr>
          <w:rFonts w:ascii="Times New Roman" w:hAnsi="Times New Roman" w:cs="Times New Roman"/>
          <w:b/>
          <w:szCs w:val="24"/>
        </w:rPr>
        <w:t>:</w:t>
      </w:r>
    </w:p>
    <w:p w14:paraId="2E564F4B" w14:textId="0B314866" w:rsidR="00C565FB" w:rsidRDefault="00C565FB">
      <w:pPr>
        <w:rPr>
          <w:rFonts w:ascii="Times New Roman" w:hAnsi="Times New Roman" w:cs="Times New Roman"/>
          <w:szCs w:val="24"/>
        </w:rPr>
      </w:pPr>
      <w:r w:rsidRPr="00C565FB">
        <w:rPr>
          <w:rFonts w:ascii="Times New Roman" w:hAnsi="Times New Roman" w:cs="Times New Roman"/>
          <w:szCs w:val="24"/>
        </w:rPr>
        <w:t>Below is the chart of key financial metrics.</w:t>
      </w:r>
    </w:p>
    <w:p w14:paraId="1720929F" w14:textId="4F619254" w:rsidR="00A221AA" w:rsidRPr="000B3CEE" w:rsidRDefault="00C565FB" w:rsidP="00A221A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7DD81B5" wp14:editId="22DFD1D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C8EF59" w14:textId="77777777" w:rsidR="00A221AA" w:rsidRPr="00C565FB" w:rsidRDefault="00A221AA">
      <w:pPr>
        <w:rPr>
          <w:rFonts w:ascii="Times New Roman" w:hAnsi="Times New Roman" w:cs="Times New Roman"/>
          <w:szCs w:val="24"/>
        </w:rPr>
      </w:pPr>
    </w:p>
    <w:sectPr w:rsidR="00A221AA" w:rsidRPr="00C5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16"/>
    <w:rsid w:val="00067033"/>
    <w:rsid w:val="00075B0E"/>
    <w:rsid w:val="000B3CEE"/>
    <w:rsid w:val="003356C6"/>
    <w:rsid w:val="00752916"/>
    <w:rsid w:val="00A15F1A"/>
    <w:rsid w:val="00A221AA"/>
    <w:rsid w:val="00BB1975"/>
    <w:rsid w:val="00C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6D66"/>
  <w15:chartTrackingRefBased/>
  <w15:docId w15:val="{4589161A-9412-466A-9E4F-3ACF7654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Revenue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FY2018</c:v>
                </c:pt>
                <c:pt idx="1">
                  <c:v>FY2019</c:v>
                </c:pt>
                <c:pt idx="2">
                  <c:v>FY2020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4.26</c:v>
                </c:pt>
                <c:pt idx="1">
                  <c:v>4.58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4B-4C8D-9B7F-C1ADFA68F2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Expenses &amp; Costs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FY2018</c:v>
                </c:pt>
                <c:pt idx="1">
                  <c:v>FY2019</c:v>
                </c:pt>
                <c:pt idx="2">
                  <c:v>FY2020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2.88</c:v>
                </c:pt>
                <c:pt idx="1">
                  <c:v>2.88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4B-4C8D-9B7F-C1ADFA68F2F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Net Profit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FY2018</c:v>
                </c:pt>
                <c:pt idx="1">
                  <c:v>FY2019</c:v>
                </c:pt>
                <c:pt idx="2">
                  <c:v>FY2020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1.38</c:v>
                </c:pt>
                <c:pt idx="1">
                  <c:v>1.7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4B-4C8D-9B7F-C1ADFA68F2F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Net Loss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FY2018</c:v>
                </c:pt>
                <c:pt idx="1">
                  <c:v>FY2019</c:v>
                </c:pt>
                <c:pt idx="2">
                  <c:v>FY2020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4B-4C8D-9B7F-C1ADFA68F2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058992"/>
        <c:axId val="511061288"/>
      </c:barChart>
      <c:catAx>
        <c:axId val="51105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061288"/>
        <c:crosses val="autoZero"/>
        <c:auto val="1"/>
        <c:lblAlgn val="ctr"/>
        <c:lblOffset val="100"/>
        <c:noMultiLvlLbl val="0"/>
      </c:catAx>
      <c:valAx>
        <c:axId val="51106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 Million Dollars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05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kandoi</dc:creator>
  <cp:keywords/>
  <dc:description/>
  <cp:lastModifiedBy>Rishabh kandoi</cp:lastModifiedBy>
  <cp:revision>8</cp:revision>
  <dcterms:created xsi:type="dcterms:W3CDTF">2018-04-15T15:12:00Z</dcterms:created>
  <dcterms:modified xsi:type="dcterms:W3CDTF">2018-04-15T15:31:00Z</dcterms:modified>
</cp:coreProperties>
</file>