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FB849" w14:textId="11DB9761" w:rsidR="006D22A8" w:rsidRPr="001423A0" w:rsidRDefault="001423A0" w:rsidP="00232094">
      <w:pPr>
        <w:spacing w:line="276" w:lineRule="auto"/>
        <w:rPr>
          <w:b/>
          <w:sz w:val="24"/>
          <w:u w:val="single"/>
        </w:rPr>
      </w:pPr>
      <w:bookmarkStart w:id="0" w:name="_Hlk511587146"/>
      <w:bookmarkEnd w:id="0"/>
      <w:r w:rsidRPr="001423A0">
        <w:rPr>
          <w:b/>
          <w:sz w:val="24"/>
          <w:u w:val="single"/>
        </w:rPr>
        <w:t>Financi</w:t>
      </w:r>
      <w:bookmarkStart w:id="1" w:name="_GoBack"/>
      <w:bookmarkEnd w:id="1"/>
      <w:r w:rsidRPr="001423A0">
        <w:rPr>
          <w:b/>
          <w:sz w:val="24"/>
          <w:u w:val="single"/>
        </w:rPr>
        <w:t>al Plan</w:t>
      </w:r>
    </w:p>
    <w:p w14:paraId="304B2E6B" w14:textId="02B5834B" w:rsidR="001423A0" w:rsidRDefault="001423A0" w:rsidP="00232094">
      <w:pPr>
        <w:spacing w:line="276" w:lineRule="auto"/>
        <w:rPr>
          <w:b/>
        </w:rPr>
      </w:pPr>
      <w:r>
        <w:rPr>
          <w:b/>
        </w:rPr>
        <w:t>Forecast</w:t>
      </w:r>
    </w:p>
    <w:p w14:paraId="087A760B" w14:textId="3F37C7B0" w:rsidR="001423A0" w:rsidRDefault="001423A0" w:rsidP="00232094">
      <w:pPr>
        <w:spacing w:line="276" w:lineRule="auto"/>
        <w:rPr>
          <w:b/>
        </w:rPr>
      </w:pPr>
      <w:r>
        <w:rPr>
          <w:b/>
        </w:rPr>
        <w:t>Key Assumptions:</w:t>
      </w:r>
    </w:p>
    <w:p w14:paraId="59F48DC4" w14:textId="7A4B37D1" w:rsidR="001423A0" w:rsidRDefault="007335B0" w:rsidP="00232094">
      <w:pPr>
        <w:spacing w:line="276" w:lineRule="auto"/>
      </w:pPr>
      <w:bookmarkStart w:id="2" w:name="_Hlk511568490"/>
      <w:r>
        <w:t xml:space="preserve">Using the survey for our platform and doing industry </w:t>
      </w:r>
      <w:r w:rsidR="008153A8">
        <w:t xml:space="preserve">&amp; market </w:t>
      </w:r>
      <w:r>
        <w:t xml:space="preserve">analysis, </w:t>
      </w:r>
      <w:r w:rsidR="008153A8">
        <w:t xml:space="preserve">we are going to forecast the financial plan as well as propose budgeting for the same. Industry analysis includes differentiating our idea with the other key players of the industry, studying financial data of the competitors and flow of services in the market. Market analysis involves doing customer intensive research, studying demand and supply of services provided by competitors and satisfaction level of customers. </w:t>
      </w:r>
    </w:p>
    <w:p w14:paraId="32A94842" w14:textId="66208326" w:rsidR="008153A8" w:rsidRDefault="008153A8" w:rsidP="00232094">
      <w:pPr>
        <w:spacing w:line="276" w:lineRule="auto"/>
      </w:pPr>
      <w:r>
        <w:t xml:space="preserve">For our platform, we are expecting a steady growth since the usage of our services would highly depend upon popularity, which requires time. </w:t>
      </w:r>
      <w:r w:rsidR="008A62D7">
        <w:t xml:space="preserve">Currently we are aiming o get a customer base of more than 1Lakh due to free services being provided. Although there is subscription based mentoring available on the platform, but initially earning money through those subscriptions in apt number would not be possible. But we can expect a conversion rate of around </w:t>
      </w:r>
      <w:r w:rsidR="00EF0D28">
        <w:t>6</w:t>
      </w:r>
      <w:r w:rsidR="00522570">
        <w:t>0</w:t>
      </w:r>
      <w:r w:rsidR="008A62D7">
        <w:t>% initially</w:t>
      </w:r>
      <w:r w:rsidR="00522570">
        <w:t>, a</w:t>
      </w:r>
      <w:r w:rsidR="00EF0D28">
        <w:t>s</w:t>
      </w:r>
      <w:r w:rsidR="00522570">
        <w:t xml:space="preserve"> </w:t>
      </w:r>
      <w:r w:rsidR="008F2674">
        <w:t>our survey gave result of conversion rate of around 60% when it comes to purchase of one-to-one mentorship subscription purchase</w:t>
      </w:r>
      <w:r w:rsidR="008A62D7">
        <w:t xml:space="preserve">. </w:t>
      </w:r>
      <w:r w:rsidR="00D21CBB">
        <w:t>Since our major expense would just be to pay for the mentors, so keeping that number less in the beginning can solve our problem. But still m</w:t>
      </w:r>
      <w:r w:rsidR="008A62D7">
        <w:t xml:space="preserve">aking profit in the beginning is generally not possible in such industry, and thus we are looking forward for a long-term effect </w:t>
      </w:r>
      <w:r w:rsidR="00D21CBB">
        <w:t>to</w:t>
      </w:r>
      <w:r w:rsidR="008A62D7">
        <w:t xml:space="preserve"> achieve success.</w:t>
      </w:r>
    </w:p>
    <w:bookmarkEnd w:id="2"/>
    <w:p w14:paraId="4803A2BB" w14:textId="4E86BFCE" w:rsidR="008A62D7" w:rsidRDefault="008A62D7" w:rsidP="00232094">
      <w:pPr>
        <w:spacing w:line="276" w:lineRule="auto"/>
      </w:pPr>
    </w:p>
    <w:p w14:paraId="22791828" w14:textId="01F66CCC" w:rsidR="008A62D7" w:rsidRDefault="008A62D7" w:rsidP="00232094">
      <w:pPr>
        <w:spacing w:line="276" w:lineRule="auto"/>
        <w:rPr>
          <w:b/>
        </w:rPr>
      </w:pPr>
      <w:r>
        <w:rPr>
          <w:b/>
        </w:rPr>
        <w:t>Revenue by month:</w:t>
      </w:r>
    </w:p>
    <w:p w14:paraId="65B8888D" w14:textId="57B0D482" w:rsidR="008A62D7" w:rsidRDefault="00245A8A" w:rsidP="00232094">
      <w:pPr>
        <w:spacing w:line="276" w:lineRule="auto"/>
      </w:pPr>
      <w:r>
        <w:t xml:space="preserve">Below </w:t>
      </w:r>
      <w:r w:rsidR="00327178">
        <w:t>are</w:t>
      </w:r>
      <w:r>
        <w:t xml:space="preserve"> the projected revenue</w:t>
      </w:r>
      <w:r w:rsidR="00327178">
        <w:t>s</w:t>
      </w:r>
      <w:r>
        <w:t xml:space="preserve"> on monthly basis for a year.</w:t>
      </w:r>
    </w:p>
    <w:p w14:paraId="18631CC1" w14:textId="34D45E5E" w:rsidR="00327178" w:rsidRDefault="004D087D" w:rsidP="00232094">
      <w:pPr>
        <w:spacing w:line="276" w:lineRule="auto"/>
      </w:pPr>
      <w:r>
        <w:rPr>
          <w:noProof/>
        </w:rPr>
        <w:drawing>
          <wp:inline distT="0" distB="0" distL="0" distR="0" wp14:anchorId="4D3F44CA" wp14:editId="0856556E">
            <wp:extent cx="6217920" cy="19354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097C0A4" w14:textId="1E0969B8" w:rsidR="00327178" w:rsidRDefault="00327178" w:rsidP="00232094">
      <w:pPr>
        <w:spacing w:line="276" w:lineRule="auto"/>
      </w:pPr>
    </w:p>
    <w:p w14:paraId="6A297F79" w14:textId="550C37AC" w:rsidR="004A63B7" w:rsidRDefault="004A63B7" w:rsidP="00232094">
      <w:pPr>
        <w:spacing w:line="276" w:lineRule="auto"/>
      </w:pPr>
    </w:p>
    <w:p w14:paraId="50C09ED8" w14:textId="089AAAC0" w:rsidR="004A63B7" w:rsidRDefault="004A63B7" w:rsidP="00232094">
      <w:pPr>
        <w:spacing w:line="276" w:lineRule="auto"/>
      </w:pPr>
    </w:p>
    <w:p w14:paraId="309538E7" w14:textId="67B4D5C0" w:rsidR="004A63B7" w:rsidRDefault="004A63B7" w:rsidP="00232094">
      <w:pPr>
        <w:spacing w:line="276" w:lineRule="auto"/>
      </w:pPr>
    </w:p>
    <w:p w14:paraId="1F790CCE" w14:textId="01ECFD74" w:rsidR="004A63B7" w:rsidRDefault="004A63B7" w:rsidP="00232094">
      <w:pPr>
        <w:spacing w:line="276" w:lineRule="auto"/>
      </w:pPr>
    </w:p>
    <w:p w14:paraId="7BC3EA9B" w14:textId="260C479B" w:rsidR="004A63B7" w:rsidRDefault="004A63B7" w:rsidP="00232094">
      <w:pPr>
        <w:spacing w:line="276" w:lineRule="auto"/>
      </w:pPr>
    </w:p>
    <w:p w14:paraId="4023C320" w14:textId="77777777" w:rsidR="004A63B7" w:rsidRDefault="004A63B7" w:rsidP="00232094">
      <w:pPr>
        <w:spacing w:line="276" w:lineRule="auto"/>
      </w:pPr>
    </w:p>
    <w:p w14:paraId="3F261E6F" w14:textId="4BEE3393" w:rsidR="00327178" w:rsidRDefault="00327178" w:rsidP="00232094">
      <w:pPr>
        <w:spacing w:line="276" w:lineRule="auto"/>
        <w:rPr>
          <w:b/>
        </w:rPr>
      </w:pPr>
      <w:r>
        <w:rPr>
          <w:b/>
        </w:rPr>
        <w:t>Expenses by month:</w:t>
      </w:r>
    </w:p>
    <w:p w14:paraId="381F2488" w14:textId="13DC4D56" w:rsidR="00327178" w:rsidRDefault="00327178" w:rsidP="00232094">
      <w:pPr>
        <w:spacing w:line="276" w:lineRule="auto"/>
      </w:pPr>
      <w:r>
        <w:t>Below are the projected expenses on monthly basis for a year.</w:t>
      </w:r>
    </w:p>
    <w:p w14:paraId="06F5DD50" w14:textId="4B448309" w:rsidR="00327178" w:rsidRDefault="004D087D" w:rsidP="00232094">
      <w:pPr>
        <w:spacing w:line="276" w:lineRule="auto"/>
      </w:pPr>
      <w:r>
        <w:rPr>
          <w:b/>
          <w:noProof/>
        </w:rPr>
        <w:drawing>
          <wp:inline distT="0" distB="0" distL="0" distR="0" wp14:anchorId="1E63C876" wp14:editId="3EA45A49">
            <wp:extent cx="6263640" cy="25298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68D173" w14:textId="77777777" w:rsidR="00802993" w:rsidRDefault="00802993" w:rsidP="00232094">
      <w:pPr>
        <w:spacing w:line="276" w:lineRule="auto"/>
      </w:pPr>
    </w:p>
    <w:p w14:paraId="3C8DCCB7" w14:textId="000B1B83" w:rsidR="00802993" w:rsidRDefault="00802993" w:rsidP="00232094">
      <w:pPr>
        <w:spacing w:line="276" w:lineRule="auto"/>
        <w:rPr>
          <w:b/>
        </w:rPr>
      </w:pPr>
      <w:r>
        <w:rPr>
          <w:b/>
        </w:rPr>
        <w:t>Net Profit (or loss) by year:</w:t>
      </w:r>
    </w:p>
    <w:p w14:paraId="452B22B8" w14:textId="7B1006D3" w:rsidR="004A63B7" w:rsidRPr="004A63B7" w:rsidRDefault="004A63B7" w:rsidP="00232094">
      <w:pPr>
        <w:spacing w:line="276" w:lineRule="auto"/>
      </w:pPr>
      <w:r>
        <w:t>Below are the projected expenses on monthly basis for a year.</w:t>
      </w:r>
    </w:p>
    <w:p w14:paraId="41E7082E" w14:textId="63A23051" w:rsidR="00590EE5" w:rsidRDefault="002D1E84" w:rsidP="00232094">
      <w:pPr>
        <w:spacing w:line="276" w:lineRule="auto"/>
      </w:pPr>
      <w:r>
        <w:rPr>
          <w:noProof/>
        </w:rPr>
        <w:drawing>
          <wp:inline distT="0" distB="0" distL="0" distR="0" wp14:anchorId="07B5D707" wp14:editId="2DBA6ADB">
            <wp:extent cx="5890260" cy="1569720"/>
            <wp:effectExtent l="0" t="0" r="1524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84AFC5" w14:textId="6E57D927" w:rsidR="00590EE5" w:rsidRDefault="00590EE5" w:rsidP="00232094">
      <w:pPr>
        <w:spacing w:line="276" w:lineRule="auto"/>
      </w:pPr>
    </w:p>
    <w:p w14:paraId="1FBF4374" w14:textId="419A79F9" w:rsidR="00590EE5" w:rsidRDefault="00590EE5" w:rsidP="00232094">
      <w:pPr>
        <w:spacing w:line="276" w:lineRule="auto"/>
        <w:rPr>
          <w:b/>
          <w:sz w:val="24"/>
          <w:u w:val="single"/>
        </w:rPr>
      </w:pPr>
      <w:r w:rsidRPr="001423A0">
        <w:rPr>
          <w:b/>
          <w:sz w:val="24"/>
          <w:u w:val="single"/>
        </w:rPr>
        <w:t>Financi</w:t>
      </w:r>
      <w:r>
        <w:rPr>
          <w:b/>
          <w:sz w:val="24"/>
          <w:u w:val="single"/>
        </w:rPr>
        <w:t>ng</w:t>
      </w:r>
    </w:p>
    <w:p w14:paraId="440E8E11" w14:textId="71152825" w:rsidR="00590EE5" w:rsidRDefault="00590EE5" w:rsidP="00232094">
      <w:pPr>
        <w:spacing w:line="276" w:lineRule="auto"/>
        <w:rPr>
          <w:b/>
        </w:rPr>
      </w:pPr>
      <w:r>
        <w:rPr>
          <w:b/>
        </w:rPr>
        <w:t>Use of funds:</w:t>
      </w:r>
    </w:p>
    <w:p w14:paraId="765A22A2" w14:textId="49B4CA28" w:rsidR="0051225F" w:rsidRDefault="002472A6" w:rsidP="00232094">
      <w:pPr>
        <w:spacing w:line="276" w:lineRule="auto"/>
      </w:pPr>
      <w:r>
        <w:t xml:space="preserve">The funds collected from </w:t>
      </w:r>
      <w:r w:rsidR="0051225F">
        <w:t>sources are used to pay for area where the company would be established, interiors, equipments, advertisements, licensing, salary, taxes, electricity, R&amp;D, cloud solution, internet connection, maintenance, etc.</w:t>
      </w:r>
    </w:p>
    <w:p w14:paraId="5314B6D6" w14:textId="216A8E3A" w:rsidR="0051225F" w:rsidRDefault="0051225F" w:rsidP="00232094">
      <w:pPr>
        <w:spacing w:line="276" w:lineRule="auto"/>
        <w:rPr>
          <w:b/>
        </w:rPr>
      </w:pPr>
      <w:r>
        <w:rPr>
          <w:b/>
        </w:rPr>
        <w:t>Sources of funds:</w:t>
      </w:r>
    </w:p>
    <w:p w14:paraId="5AA249F6" w14:textId="37BC3EDE" w:rsidR="00F47310" w:rsidRPr="004A63B7" w:rsidRDefault="0051225F" w:rsidP="00232094">
      <w:pPr>
        <w:spacing w:line="276" w:lineRule="auto"/>
      </w:pPr>
      <w:r>
        <w:t xml:space="preserve">Since the amount of investment is not huge, there is no need to raise funds through venture capitalists. </w:t>
      </w:r>
      <w:r w:rsidR="007246AF">
        <w:t>Thus</w:t>
      </w:r>
      <w:r>
        <w:t xml:space="preserve">, the board of directors </w:t>
      </w:r>
      <w:r w:rsidR="007246AF">
        <w:t>are investing their own money in the business, thus reducing market risk in case of loans or partnerships. Other than that, revenue collected from one-to-one mentorship subscription (estimated $60 per subscription)</w:t>
      </w:r>
      <w:r w:rsidR="00CC2629">
        <w:t xml:space="preserve"> and web advertisements also adds on to </w:t>
      </w:r>
      <w:r w:rsidR="00CC2629">
        <w:lastRenderedPageBreak/>
        <w:t>the amount of funds collected. Note that all estimations are made on the basis on key assumptions discussed already.</w:t>
      </w:r>
    </w:p>
    <w:p w14:paraId="413DD229" w14:textId="1B1A4A54" w:rsidR="00CC2629" w:rsidRDefault="00CC2629" w:rsidP="00232094">
      <w:pPr>
        <w:spacing w:line="276" w:lineRule="auto"/>
        <w:rPr>
          <w:b/>
          <w:sz w:val="24"/>
          <w:u w:val="single"/>
        </w:rPr>
      </w:pPr>
      <w:r>
        <w:rPr>
          <w:b/>
          <w:sz w:val="24"/>
          <w:u w:val="single"/>
        </w:rPr>
        <w:t>Statements</w:t>
      </w:r>
    </w:p>
    <w:p w14:paraId="211CBA6F" w14:textId="7D2D6151" w:rsidR="00CC2629" w:rsidRDefault="00CC2629" w:rsidP="00232094">
      <w:pPr>
        <w:spacing w:line="276" w:lineRule="auto"/>
        <w:rPr>
          <w:b/>
        </w:rPr>
      </w:pPr>
      <w:r>
        <w:rPr>
          <w:b/>
        </w:rPr>
        <w:t>Projected Profit &amp; Loss:</w:t>
      </w:r>
    </w:p>
    <w:tbl>
      <w:tblPr>
        <w:tblW w:w="9369" w:type="dxa"/>
        <w:jc w:val="center"/>
        <w:tblLayout w:type="fixed"/>
        <w:tblLook w:val="04A0" w:firstRow="1" w:lastRow="0" w:firstColumn="1" w:lastColumn="0" w:noHBand="0" w:noVBand="1"/>
      </w:tblPr>
      <w:tblGrid>
        <w:gridCol w:w="3282"/>
        <w:gridCol w:w="2029"/>
        <w:gridCol w:w="2029"/>
        <w:gridCol w:w="2029"/>
      </w:tblGrid>
      <w:tr w:rsidR="00CC2629" w:rsidRPr="00CC2629" w14:paraId="3EE8B779"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CE2DE27" w14:textId="77777777" w:rsidR="00CC2629" w:rsidRPr="00CC2629" w:rsidRDefault="00CC2629" w:rsidP="00232094">
            <w:pPr>
              <w:pStyle w:val="FinancialTableHeader"/>
              <w:keepNext/>
              <w:keepLines/>
              <w:spacing w:line="276" w:lineRule="auto"/>
              <w:rPr>
                <w:rFonts w:ascii="Times New Roman" w:hAnsi="Times New Roman" w:cs="Times New Roman"/>
                <w:sz w:val="22"/>
                <w:szCs w:val="22"/>
              </w:rPr>
            </w:pP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6715382" w14:textId="77777777" w:rsidR="00CC2629" w:rsidRPr="00CC2629" w:rsidRDefault="00CC2629" w:rsidP="00232094">
            <w:pPr>
              <w:pStyle w:val="FinancialTableHeader"/>
              <w:keepNext/>
              <w:keepLines/>
              <w:spacing w:line="276" w:lineRule="auto"/>
              <w:jc w:val="right"/>
              <w:rPr>
                <w:rFonts w:ascii="Times New Roman" w:hAnsi="Times New Roman" w:cs="Times New Roman"/>
                <w:sz w:val="22"/>
                <w:szCs w:val="22"/>
              </w:rPr>
            </w:pPr>
            <w:r w:rsidRPr="00CC2629">
              <w:rPr>
                <w:rFonts w:ascii="Times New Roman" w:hAnsi="Times New Roman" w:cs="Times New Roman"/>
                <w:sz w:val="22"/>
                <w:szCs w:val="22"/>
              </w:rPr>
              <w:t>FY2018</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49D9E29" w14:textId="77777777" w:rsidR="00CC2629" w:rsidRPr="00CC2629" w:rsidRDefault="00CC2629" w:rsidP="00232094">
            <w:pPr>
              <w:pStyle w:val="FinancialTableHeader"/>
              <w:keepNext/>
              <w:keepLines/>
              <w:spacing w:line="276" w:lineRule="auto"/>
              <w:jc w:val="right"/>
              <w:rPr>
                <w:rFonts w:ascii="Times New Roman" w:hAnsi="Times New Roman" w:cs="Times New Roman"/>
                <w:sz w:val="22"/>
                <w:szCs w:val="22"/>
              </w:rPr>
            </w:pPr>
            <w:r w:rsidRPr="00CC2629">
              <w:rPr>
                <w:rFonts w:ascii="Times New Roman" w:hAnsi="Times New Roman" w:cs="Times New Roman"/>
                <w:sz w:val="22"/>
                <w:szCs w:val="22"/>
              </w:rPr>
              <w:t>FY2019</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DC94F01" w14:textId="77777777" w:rsidR="00CC2629" w:rsidRPr="00CC2629" w:rsidRDefault="00CC2629" w:rsidP="00232094">
            <w:pPr>
              <w:pStyle w:val="FinancialTableHeader"/>
              <w:keepNext/>
              <w:keepLines/>
              <w:spacing w:line="276" w:lineRule="auto"/>
              <w:jc w:val="right"/>
              <w:rPr>
                <w:rFonts w:ascii="Times New Roman" w:hAnsi="Times New Roman" w:cs="Times New Roman"/>
                <w:sz w:val="22"/>
                <w:szCs w:val="22"/>
              </w:rPr>
            </w:pPr>
            <w:r w:rsidRPr="00CC2629">
              <w:rPr>
                <w:rFonts w:ascii="Times New Roman" w:hAnsi="Times New Roman" w:cs="Times New Roman"/>
                <w:sz w:val="22"/>
                <w:szCs w:val="22"/>
              </w:rPr>
              <w:t>FY2020</w:t>
            </w:r>
          </w:p>
        </w:tc>
      </w:tr>
      <w:tr w:rsidR="00CC2629" w:rsidRPr="00CC2629" w14:paraId="2038BE07" w14:textId="77777777" w:rsidTr="00F47310">
        <w:trPr>
          <w:cantSplit/>
          <w:trHeight w:val="22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0D37C32"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Revenue</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C503878" w14:textId="195244DF" w:rsidR="00CC2629" w:rsidRPr="00CC2629" w:rsidRDefault="00CD7E7C"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$4.26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C93372D" w14:textId="2A359187"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$4.58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6B887A5" w14:textId="3CBE97EA"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$5.0 million</w:t>
            </w:r>
          </w:p>
        </w:tc>
      </w:tr>
      <w:tr w:rsidR="00CC2629" w:rsidRPr="00CC2629" w14:paraId="68E7B004" w14:textId="77777777" w:rsidTr="00F47310">
        <w:trPr>
          <w:cantSplit/>
          <w:trHeight w:hRule="exact" w:val="16"/>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BDEDA66" w14:textId="77777777" w:rsidR="00CC2629" w:rsidRPr="00CC2629" w:rsidRDefault="00CC2629" w:rsidP="00232094">
            <w:pPr>
              <w:pStyle w:val="FinancialTableSpacer"/>
              <w:keepNext/>
              <w:keepLines/>
              <w:spacing w:line="276" w:lineRule="auto"/>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6D5C4F"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7B3A0F"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6F38EC" w14:textId="77777777" w:rsidR="00CC2629" w:rsidRPr="00CC2629" w:rsidRDefault="00CC2629" w:rsidP="00232094">
            <w:pPr>
              <w:pStyle w:val="FinancialTableSpacer"/>
              <w:keepNext/>
              <w:keepLines/>
              <w:spacing w:line="276" w:lineRule="auto"/>
              <w:jc w:val="right"/>
              <w:rPr>
                <w:sz w:val="22"/>
                <w:szCs w:val="22"/>
              </w:rPr>
            </w:pPr>
          </w:p>
        </w:tc>
      </w:tr>
      <w:tr w:rsidR="00CC2629" w:rsidRPr="00CC2629" w14:paraId="670CFE95"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B587414"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Direct Costs</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B69E8F3" w14:textId="681DAE9F"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$1.15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91A8946" w14:textId="1CAA42EB"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$0.6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A10F17C" w14:textId="03A34249" w:rsidR="00CC2629" w:rsidRPr="00CC2629" w:rsidRDefault="00D31014"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$0.6 million</w:t>
            </w:r>
          </w:p>
        </w:tc>
      </w:tr>
      <w:tr w:rsidR="00CC2629" w:rsidRPr="00CC2629" w14:paraId="414DACAE" w14:textId="77777777" w:rsidTr="00F47310">
        <w:trPr>
          <w:cantSplit/>
          <w:trHeight w:hRule="exact" w:val="16"/>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88F807A" w14:textId="77777777" w:rsidR="00CC2629" w:rsidRPr="00CC2629" w:rsidRDefault="00CC2629" w:rsidP="00232094">
            <w:pPr>
              <w:pStyle w:val="FinancialTableSpacer"/>
              <w:keepNext/>
              <w:keepLines/>
              <w:spacing w:line="276" w:lineRule="auto"/>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40CD2B"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0BC669"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FC7712E" w14:textId="77777777" w:rsidR="00CC2629" w:rsidRPr="00CC2629" w:rsidRDefault="00CC2629" w:rsidP="00232094">
            <w:pPr>
              <w:pStyle w:val="FinancialTableSpacer"/>
              <w:keepNext/>
              <w:keepLines/>
              <w:spacing w:line="276" w:lineRule="auto"/>
              <w:jc w:val="right"/>
              <w:rPr>
                <w:sz w:val="22"/>
                <w:szCs w:val="22"/>
              </w:rPr>
            </w:pPr>
          </w:p>
        </w:tc>
      </w:tr>
      <w:tr w:rsidR="00CC2629" w:rsidRPr="00CC2629" w14:paraId="161F452A"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BE6672D" w14:textId="77777777" w:rsidR="00CC2629" w:rsidRPr="00CC2629" w:rsidRDefault="00CC2629" w:rsidP="00232094">
            <w:pPr>
              <w:pStyle w:val="FinancialTableItem"/>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Gross Margin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1110CA1" w14:textId="77777777" w:rsidR="00CC2629" w:rsidRPr="00CC2629" w:rsidRDefault="00CC2629" w:rsidP="00232094">
            <w:pPr>
              <w:pStyle w:val="FinancialTableItem"/>
              <w:keepNext/>
              <w:keepLines/>
              <w:spacing w:line="276" w:lineRule="auto"/>
              <w:jc w:val="right"/>
              <w:rPr>
                <w:rFonts w:ascii="Times New Roman" w:hAnsi="Times New Roman" w:cs="Times New Roman"/>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1E49D0" w14:textId="77777777" w:rsidR="00CC2629" w:rsidRPr="00CC2629" w:rsidRDefault="00CC2629" w:rsidP="00232094">
            <w:pPr>
              <w:pStyle w:val="FinancialTableItem"/>
              <w:keepNext/>
              <w:keepLines/>
              <w:spacing w:line="276" w:lineRule="auto"/>
              <w:jc w:val="right"/>
              <w:rPr>
                <w:rFonts w:ascii="Times New Roman" w:hAnsi="Times New Roman" w:cs="Times New Roman"/>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3029BCA" w14:textId="77777777" w:rsidR="00CC2629" w:rsidRPr="00CC2629" w:rsidRDefault="00CC2629" w:rsidP="00232094">
            <w:pPr>
              <w:pStyle w:val="FinancialTableItem"/>
              <w:keepNext/>
              <w:keepLines/>
              <w:spacing w:line="276" w:lineRule="auto"/>
              <w:jc w:val="right"/>
              <w:rPr>
                <w:rFonts w:ascii="Times New Roman" w:hAnsi="Times New Roman" w:cs="Times New Roman"/>
                <w:sz w:val="22"/>
                <w:szCs w:val="22"/>
              </w:rPr>
            </w:pPr>
          </w:p>
        </w:tc>
      </w:tr>
      <w:tr w:rsidR="00CC2629" w:rsidRPr="00CC2629" w14:paraId="4AC1D14B"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8AD1940"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Gross Margin %</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3AE978C" w14:textId="218D6E1E" w:rsidR="00CC2629" w:rsidRPr="00CC2629" w:rsidRDefault="0077725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73</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BF8B3E5" w14:textId="13A24EC4" w:rsidR="00CC2629" w:rsidRPr="00CC2629" w:rsidRDefault="0077725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86.8</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F1A3076" w14:textId="7A8A4866" w:rsidR="00CC2629" w:rsidRPr="00CC2629" w:rsidRDefault="0077725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88</w:t>
            </w:r>
          </w:p>
        </w:tc>
      </w:tr>
      <w:tr w:rsidR="00CC2629" w:rsidRPr="00CC2629" w14:paraId="437CA7C9"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8870D74" w14:textId="77777777" w:rsidR="00CC2629" w:rsidRPr="00CC2629" w:rsidRDefault="00CC2629" w:rsidP="00232094">
            <w:pPr>
              <w:pStyle w:val="FinancialTableGroupHead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Operating Expenses</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1BE180" w14:textId="77777777" w:rsidR="00CC2629" w:rsidRPr="00CC2629" w:rsidRDefault="00CC2629" w:rsidP="00232094">
            <w:pPr>
              <w:pStyle w:val="FinancialTableGroupHeader"/>
              <w:keepNext/>
              <w:keepLines/>
              <w:spacing w:line="276" w:lineRule="auto"/>
              <w:jc w:val="right"/>
              <w:rPr>
                <w:rFonts w:ascii="Times New Roman" w:hAnsi="Times New Roman" w:cs="Times New Roman"/>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8A6B47C" w14:textId="77777777" w:rsidR="00CC2629" w:rsidRPr="00CC2629" w:rsidRDefault="00CC2629" w:rsidP="00232094">
            <w:pPr>
              <w:pStyle w:val="FinancialTableGroupHeader"/>
              <w:keepNext/>
              <w:keepLines/>
              <w:spacing w:line="276" w:lineRule="auto"/>
              <w:jc w:val="right"/>
              <w:rPr>
                <w:rFonts w:ascii="Times New Roman" w:hAnsi="Times New Roman" w:cs="Times New Roman"/>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E66A95F" w14:textId="77777777" w:rsidR="00CC2629" w:rsidRPr="00CC2629" w:rsidRDefault="00CC2629" w:rsidP="00232094">
            <w:pPr>
              <w:pStyle w:val="FinancialTableGroupHeader"/>
              <w:keepNext/>
              <w:keepLines/>
              <w:spacing w:line="276" w:lineRule="auto"/>
              <w:jc w:val="right"/>
              <w:rPr>
                <w:rFonts w:ascii="Times New Roman" w:hAnsi="Times New Roman" w:cs="Times New Roman"/>
                <w:sz w:val="22"/>
                <w:szCs w:val="22"/>
              </w:rPr>
            </w:pPr>
          </w:p>
        </w:tc>
      </w:tr>
      <w:tr w:rsidR="00CC2629" w:rsidRPr="00CC2629" w14:paraId="28401ACB"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03D90AE" w14:textId="77777777" w:rsidR="00CC2629" w:rsidRPr="00CC2629" w:rsidRDefault="00CC2629" w:rsidP="00232094">
            <w:pPr>
              <w:pStyle w:val="FinancialTableGroupItem"/>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Salary</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4E421B3" w14:textId="525D4571"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$380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EEDBC99" w14:textId="494D4213"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$450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1691B11" w14:textId="413D7138"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$600</w:t>
            </w:r>
          </w:p>
        </w:tc>
      </w:tr>
      <w:tr w:rsidR="00CC2629" w:rsidRPr="00CC2629" w14:paraId="58A48074"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E509964" w14:textId="77777777" w:rsidR="00CC2629" w:rsidRPr="00CC2629" w:rsidRDefault="00CC2629" w:rsidP="00232094">
            <w:pPr>
              <w:pStyle w:val="FinancialTableGroupItem"/>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Employee Related Expenses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5195B49" w14:textId="13E5E512"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8CFBDB6" w14:textId="4FA642C4"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4ADBFD1" w14:textId="46AAAA8B" w:rsidR="00CC2629" w:rsidRPr="00CC2629" w:rsidRDefault="0077725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$50</w:t>
            </w:r>
          </w:p>
        </w:tc>
      </w:tr>
      <w:tr w:rsidR="002C721F" w:rsidRPr="00CC2629" w14:paraId="1F3CC991" w14:textId="77777777" w:rsidTr="00F47310">
        <w:trPr>
          <w:cantSplit/>
          <w:trHeight w:val="433"/>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65E6A60" w14:textId="3E2F0F52" w:rsidR="002C721F" w:rsidRPr="00CC2629" w:rsidRDefault="002C721F" w:rsidP="00232094">
            <w:pPr>
              <w:pStyle w:val="FinancialTableGroupItem"/>
              <w:keepNext/>
              <w:keepLines/>
              <w:spacing w:line="276" w:lineRule="auto"/>
              <w:rPr>
                <w:rFonts w:ascii="Times New Roman" w:hAnsi="Times New Roman" w:cs="Times New Roman"/>
                <w:sz w:val="22"/>
                <w:szCs w:val="22"/>
              </w:rPr>
            </w:pPr>
            <w:r w:rsidRPr="002C721F">
              <w:rPr>
                <w:rFonts w:ascii="Times New Roman" w:hAnsi="Times New Roman" w:cs="Times New Roman"/>
                <w:sz w:val="22"/>
                <w:szCs w:val="22"/>
              </w:rPr>
              <w:t>Legal, accounting, and professional services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5F23B186" w14:textId="0A23C6A6"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$600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75E5AE9" w14:textId="0280D72A"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9D298CC" w14:textId="6ABBCC37"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$800</w:t>
            </w:r>
          </w:p>
        </w:tc>
      </w:tr>
      <w:tr w:rsidR="002C721F" w:rsidRPr="00CC2629" w14:paraId="60FD0E5D"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9307175" w14:textId="15DCC575" w:rsidR="002C721F" w:rsidRPr="002C721F" w:rsidRDefault="002C721F" w:rsidP="00232094">
            <w:pPr>
              <w:pStyle w:val="FinancialTableGroupItem"/>
              <w:keepNext/>
              <w:keepLines/>
              <w:spacing w:line="276" w:lineRule="auto"/>
              <w:rPr>
                <w:rFonts w:ascii="Times New Roman" w:hAnsi="Times New Roman" w:cs="Times New Roman"/>
                <w:sz w:val="22"/>
                <w:szCs w:val="22"/>
              </w:rPr>
            </w:pPr>
            <w:r w:rsidRPr="002C721F">
              <w:rPr>
                <w:rFonts w:ascii="Times New Roman" w:hAnsi="Times New Roman" w:cs="Times New Roman"/>
                <w:sz w:val="22"/>
                <w:szCs w:val="22"/>
              </w:rPr>
              <w:t>Advertising and promotions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27D65C1" w14:textId="6AA31BC3"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$150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5FB56531" w14:textId="56050A60"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CF7FEF6" w14:textId="3F9923EC" w:rsidR="002C721F" w:rsidRDefault="002C721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$200</w:t>
            </w:r>
          </w:p>
        </w:tc>
      </w:tr>
      <w:tr w:rsidR="002C721F" w:rsidRPr="00CC2629" w14:paraId="249CD2CB"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58659AED" w14:textId="3B30D986" w:rsidR="002C721F" w:rsidRPr="002C721F" w:rsidRDefault="002C721F" w:rsidP="00232094">
            <w:pPr>
              <w:pStyle w:val="FinancialTableGroupItem"/>
              <w:keepNext/>
              <w:keepLines/>
              <w:spacing w:line="276" w:lineRule="auto"/>
              <w:rPr>
                <w:rFonts w:ascii="Times New Roman" w:hAnsi="Times New Roman" w:cs="Times New Roman"/>
                <w:sz w:val="22"/>
                <w:szCs w:val="22"/>
              </w:rPr>
            </w:pPr>
            <w:r w:rsidRPr="002C721F">
              <w:rPr>
                <w:rFonts w:ascii="Times New Roman" w:hAnsi="Times New Roman" w:cs="Times New Roman"/>
                <w:sz w:val="22"/>
                <w:szCs w:val="22"/>
              </w:rPr>
              <w:t>Deposits for utilities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CF56464" w14:textId="5C6FB614" w:rsidR="002C721F"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$150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D19388D" w14:textId="4078B837" w:rsidR="002C721F"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$150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B9B6C76" w14:textId="7C92196F" w:rsidR="002C721F"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$200</w:t>
            </w:r>
          </w:p>
        </w:tc>
      </w:tr>
      <w:tr w:rsidR="00FD3C29" w:rsidRPr="00CC2629" w14:paraId="5279C533"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97758FC" w14:textId="79D18006" w:rsidR="00FD3C29" w:rsidRPr="002C721F" w:rsidRDefault="00FD3C29" w:rsidP="00232094">
            <w:pPr>
              <w:pStyle w:val="FinancialTableGroupItem"/>
              <w:keepNext/>
              <w:keepLines/>
              <w:spacing w:line="276" w:lineRule="auto"/>
              <w:rPr>
                <w:rFonts w:ascii="Times New Roman" w:hAnsi="Times New Roman" w:cs="Times New Roman"/>
                <w:sz w:val="22"/>
                <w:szCs w:val="22"/>
              </w:rPr>
            </w:pPr>
            <w:r w:rsidRPr="00FD3C29">
              <w:rPr>
                <w:rFonts w:ascii="Times New Roman" w:hAnsi="Times New Roman" w:cs="Times New Roman"/>
                <w:sz w:val="22"/>
                <w:szCs w:val="22"/>
              </w:rPr>
              <w:t>Licenses and permits</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29DC38A" w14:textId="58A05079"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$180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963790C" w14:textId="5E78FC44"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8279B32" w14:textId="62786C09"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$200</w:t>
            </w:r>
          </w:p>
        </w:tc>
      </w:tr>
      <w:tr w:rsidR="00FD3C29" w:rsidRPr="00CC2629" w14:paraId="4C978D07"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54E8C030" w14:textId="48A0D2BB" w:rsidR="00FD3C29" w:rsidRPr="00FD3C29" w:rsidRDefault="00FD3C29" w:rsidP="00232094">
            <w:pPr>
              <w:pStyle w:val="FinancialTableGroupItem"/>
              <w:keepNext/>
              <w:keepLines/>
              <w:spacing w:line="276" w:lineRule="auto"/>
              <w:rPr>
                <w:rFonts w:ascii="Times New Roman" w:hAnsi="Times New Roman" w:cs="Times New Roman"/>
                <w:sz w:val="22"/>
                <w:szCs w:val="22"/>
              </w:rPr>
            </w:pPr>
            <w:r>
              <w:rPr>
                <w:rFonts w:ascii="Times New Roman" w:hAnsi="Times New Roman" w:cs="Times New Roman"/>
                <w:sz w:val="22"/>
                <w:szCs w:val="22"/>
              </w:rPr>
              <w:t>Working Capital</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021D22D" w14:textId="22AC23A5"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C88A891" w14:textId="634EC368"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$800</w:t>
            </w:r>
          </w:p>
        </w:tc>
        <w:tc>
          <w:tcPr>
            <w:tcW w:w="2029"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1B7A091" w14:textId="58DF5728" w:rsidR="00FD3C29" w:rsidRDefault="00FD3C2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$850</w:t>
            </w:r>
          </w:p>
        </w:tc>
      </w:tr>
      <w:tr w:rsidR="00CC2629" w:rsidRPr="00CC2629" w14:paraId="0F7B0534" w14:textId="77777777" w:rsidTr="00F47310">
        <w:trPr>
          <w:cantSplit/>
          <w:trHeight w:val="22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9E0BF94"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Total Operating Expenses</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E2257A5" w14:textId="13A50607" w:rsidR="00CC2629" w:rsidRPr="00CC2629" w:rsidRDefault="0077725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FD3C29">
              <w:rPr>
                <w:rFonts w:ascii="Times New Roman" w:hAnsi="Times New Roman" w:cs="Times New Roman"/>
                <w:sz w:val="22"/>
                <w:szCs w:val="22"/>
              </w:rPr>
              <w:t>2250</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6894EB4" w14:textId="689A784B" w:rsidR="00CC2629" w:rsidRPr="00CC2629" w:rsidRDefault="0077725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FD3C29">
              <w:rPr>
                <w:rFonts w:ascii="Times New Roman" w:hAnsi="Times New Roman" w:cs="Times New Roman"/>
                <w:sz w:val="22"/>
                <w:szCs w:val="22"/>
              </w:rPr>
              <w:t>2550</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C9D094F" w14:textId="5DC1682A" w:rsidR="00CC2629" w:rsidRPr="00CC2629" w:rsidRDefault="002C721F"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FD3C29">
              <w:rPr>
                <w:rFonts w:ascii="Times New Roman" w:hAnsi="Times New Roman" w:cs="Times New Roman"/>
                <w:sz w:val="22"/>
                <w:szCs w:val="22"/>
              </w:rPr>
              <w:t>2850</w:t>
            </w:r>
          </w:p>
        </w:tc>
      </w:tr>
      <w:tr w:rsidR="00CC2629" w:rsidRPr="00CC2629" w14:paraId="645810FD" w14:textId="77777777" w:rsidTr="00F47310">
        <w:trPr>
          <w:cantSplit/>
          <w:trHeight w:hRule="exact" w:val="16"/>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D8345C6" w14:textId="77777777" w:rsidR="00CC2629" w:rsidRPr="00CC2629" w:rsidRDefault="00CC2629" w:rsidP="00232094">
            <w:pPr>
              <w:pStyle w:val="FinancialTableSpacer"/>
              <w:keepNext/>
              <w:keepLines/>
              <w:spacing w:line="276" w:lineRule="auto"/>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018AB60"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7351D3"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16DE3A" w14:textId="77777777" w:rsidR="00CC2629" w:rsidRPr="00CC2629" w:rsidRDefault="00CC2629" w:rsidP="00232094">
            <w:pPr>
              <w:pStyle w:val="FinancialTableSpacer"/>
              <w:keepNext/>
              <w:keepLines/>
              <w:spacing w:line="276" w:lineRule="auto"/>
              <w:jc w:val="right"/>
              <w:rPr>
                <w:sz w:val="22"/>
                <w:szCs w:val="22"/>
              </w:rPr>
            </w:pPr>
          </w:p>
        </w:tc>
      </w:tr>
      <w:tr w:rsidR="00CC2629" w:rsidRPr="00CC2629" w14:paraId="741F02A4"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2190A369"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Operating Income</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4D9C365" w14:textId="1B52E9AE" w:rsidR="00CC2629" w:rsidRPr="00CC2629" w:rsidRDefault="00FD3C2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$3.1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129C1C5" w14:textId="0F50DC4E" w:rsidR="00CC2629" w:rsidRPr="00CC2629" w:rsidRDefault="00FD3C2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$3.9 million</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9FB98BA" w14:textId="0C348DB5" w:rsidR="00CC2629" w:rsidRPr="00CC2629" w:rsidRDefault="00FD3C2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$4.39</w:t>
            </w:r>
          </w:p>
        </w:tc>
      </w:tr>
      <w:tr w:rsidR="00CC2629" w:rsidRPr="00CC2629" w14:paraId="6188ABB1" w14:textId="77777777" w:rsidTr="00F47310">
        <w:trPr>
          <w:cantSplit/>
          <w:trHeight w:hRule="exact" w:val="16"/>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4B53D12" w14:textId="77777777" w:rsidR="00CC2629" w:rsidRPr="00CC2629" w:rsidRDefault="00CC2629" w:rsidP="00232094">
            <w:pPr>
              <w:pStyle w:val="FinancialTableSpacer"/>
              <w:keepNext/>
              <w:keepLines/>
              <w:spacing w:line="276" w:lineRule="auto"/>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F4C02C"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7D094A" w14:textId="77777777" w:rsidR="00CC2629" w:rsidRPr="00CC2629" w:rsidRDefault="00CC2629" w:rsidP="00232094">
            <w:pPr>
              <w:pStyle w:val="FinancialTableSpacer"/>
              <w:keepNext/>
              <w:keepLines/>
              <w:spacing w:line="276" w:lineRule="auto"/>
              <w:jc w:val="right"/>
              <w:rPr>
                <w:sz w:val="22"/>
                <w:szCs w:val="22"/>
              </w:rPr>
            </w:pP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DA234B" w14:textId="77777777" w:rsidR="00CC2629" w:rsidRPr="00CC2629" w:rsidRDefault="00CC2629" w:rsidP="00232094">
            <w:pPr>
              <w:pStyle w:val="FinancialTableSpacer"/>
              <w:keepNext/>
              <w:keepLines/>
              <w:spacing w:line="276" w:lineRule="auto"/>
              <w:jc w:val="right"/>
              <w:rPr>
                <w:sz w:val="22"/>
                <w:szCs w:val="22"/>
              </w:rPr>
            </w:pPr>
          </w:p>
        </w:tc>
      </w:tr>
      <w:tr w:rsidR="00CC2629" w:rsidRPr="00CC2629" w14:paraId="79F4F150"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32F8F06" w14:textId="77777777" w:rsidR="00CC2629" w:rsidRPr="00CC2629" w:rsidRDefault="00CC2629" w:rsidP="00232094">
            <w:pPr>
              <w:pStyle w:val="FinancialTableItem"/>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Interest Incurred</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8EBE55" w14:textId="4692299C"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928A4F6" w14:textId="70532AAC"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4D424A" w14:textId="419902FE"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CC2629" w:rsidRPr="00CC2629" w14:paraId="0DF6BE73"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4DA8180" w14:textId="77777777" w:rsidR="00CC2629" w:rsidRPr="00CC2629" w:rsidRDefault="00CC2629" w:rsidP="00232094">
            <w:pPr>
              <w:pStyle w:val="FinancialTableItem"/>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Depreciation and Amortization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A6D3A9" w14:textId="2614A384"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12AACC" w14:textId="00D1BF3F"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2F3AFC" w14:textId="09A28186" w:rsidR="00CC2629" w:rsidRPr="00CC2629" w:rsidRDefault="004127D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CC2629" w:rsidRPr="00CC2629" w14:paraId="241D8FDB" w14:textId="77777777" w:rsidTr="00F47310">
        <w:trPr>
          <w:cantSplit/>
          <w:trHeight w:val="22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DF500A4" w14:textId="23A6185A" w:rsidR="00CC2629" w:rsidRPr="00CC2629" w:rsidRDefault="00FD695A" w:rsidP="00232094">
            <w:pPr>
              <w:pStyle w:val="FinancialTableItem"/>
              <w:keepNext/>
              <w:keepLines/>
              <w:spacing w:line="276" w:lineRule="auto"/>
              <w:rPr>
                <w:rFonts w:ascii="Times New Roman" w:hAnsi="Times New Roman" w:cs="Times New Roman"/>
                <w:sz w:val="22"/>
                <w:szCs w:val="22"/>
              </w:rPr>
            </w:pPr>
            <w:r>
              <w:rPr>
                <w:rFonts w:ascii="Times New Roman" w:hAnsi="Times New Roman" w:cs="Times New Roman"/>
                <w:sz w:val="22"/>
                <w:szCs w:val="22"/>
              </w:rPr>
              <w:t>GST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B267CA1" w14:textId="24AE7B8C" w:rsidR="00CC2629" w:rsidRPr="00CC2629" w:rsidRDefault="00394ED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E87F94B" w14:textId="54C66F64" w:rsidR="00CC2629" w:rsidRPr="00CC2629" w:rsidRDefault="00394ED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1736CB0" w14:textId="5BAC3EBF" w:rsidR="00CC2629" w:rsidRPr="00CC2629" w:rsidRDefault="00394ED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CC2629" w:rsidRPr="00CC2629" w14:paraId="6E6515C0"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D2477F6" w14:textId="77777777" w:rsidR="00CC2629" w:rsidRPr="00CC2629" w:rsidRDefault="00CC2629" w:rsidP="00232094">
            <w:pPr>
              <w:pStyle w:val="FinancialTableGroupHead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Total Expenses</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B1AE313" w14:textId="10480B0F" w:rsidR="00CC2629" w:rsidRPr="00CC2629" w:rsidRDefault="00394ED2"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w:t>
            </w:r>
            <w:r w:rsidR="00426027">
              <w:rPr>
                <w:rFonts w:ascii="Times New Roman" w:hAnsi="Times New Roman" w:cs="Times New Roman"/>
                <w:sz w:val="22"/>
                <w:szCs w:val="22"/>
              </w:rPr>
              <w:t>73</w:t>
            </w:r>
            <w:r>
              <w:rPr>
                <w:rFonts w:ascii="Times New Roman" w:hAnsi="Times New Roman" w:cs="Times New Roman"/>
                <w:sz w:val="22"/>
                <w:szCs w:val="22"/>
              </w:rPr>
              <w:t xml:space="preserve"> million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86070C" w14:textId="3F4DAF5C" w:rsidR="00CC2629" w:rsidRPr="00CC2629" w:rsidRDefault="00394ED2"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EF0D28">
              <w:rPr>
                <w:rFonts w:ascii="Times New Roman" w:hAnsi="Times New Roman" w:cs="Times New Roman"/>
                <w:sz w:val="22"/>
                <w:szCs w:val="22"/>
              </w:rPr>
              <w:t>2.28</w:t>
            </w:r>
            <w:r>
              <w:rPr>
                <w:rFonts w:ascii="Times New Roman" w:hAnsi="Times New Roman" w:cs="Times New Roman"/>
                <w:sz w:val="22"/>
                <w:szCs w:val="22"/>
              </w:rPr>
              <w:t xml:space="preserve"> million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C94B93" w14:textId="169912D3" w:rsidR="00CC2629" w:rsidRPr="00CC2629" w:rsidRDefault="00394ED2"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EF0D28">
              <w:rPr>
                <w:rFonts w:ascii="Times New Roman" w:hAnsi="Times New Roman" w:cs="Times New Roman"/>
                <w:sz w:val="22"/>
                <w:szCs w:val="22"/>
              </w:rPr>
              <w:t>2.4</w:t>
            </w:r>
            <w:r>
              <w:rPr>
                <w:rFonts w:ascii="Times New Roman" w:hAnsi="Times New Roman" w:cs="Times New Roman"/>
                <w:sz w:val="22"/>
                <w:szCs w:val="22"/>
              </w:rPr>
              <w:t xml:space="preserve"> million</w:t>
            </w:r>
          </w:p>
        </w:tc>
      </w:tr>
      <w:tr w:rsidR="00CC2629" w:rsidRPr="00CC2629" w14:paraId="6B785FE8" w14:textId="77777777" w:rsidTr="00F47310">
        <w:trPr>
          <w:cantSplit/>
          <w:trHeight w:val="211"/>
          <w:jc w:val="center"/>
        </w:trPr>
        <w:tc>
          <w:tcPr>
            <w:tcW w:w="3282"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7004E4D" w14:textId="77777777" w:rsidR="00CC2629" w:rsidRPr="00CC2629" w:rsidRDefault="00CC2629" w:rsidP="00232094">
            <w:pPr>
              <w:pStyle w:val="FinancialTableGroupHead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Net Profit</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C8BB03" w14:textId="2DFD00DA" w:rsidR="00CC2629" w:rsidRPr="00CC2629" w:rsidRDefault="00426027"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$1.38 million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CBB302B" w14:textId="5AEC5F93" w:rsidR="00CC2629" w:rsidRPr="00CC2629" w:rsidRDefault="00EF0D28"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$1.7 million</w:t>
            </w:r>
          </w:p>
        </w:tc>
        <w:tc>
          <w:tcPr>
            <w:tcW w:w="2029"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4339F70" w14:textId="7B3680A0" w:rsidR="00CC2629" w:rsidRPr="00CC2629" w:rsidRDefault="00EF0D28"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 million</w:t>
            </w:r>
          </w:p>
        </w:tc>
      </w:tr>
      <w:tr w:rsidR="00CC2629" w:rsidRPr="00CC2629" w14:paraId="5C79CD34" w14:textId="77777777" w:rsidTr="00F47310">
        <w:trPr>
          <w:cantSplit/>
          <w:trHeight w:val="211"/>
          <w:jc w:val="center"/>
        </w:trPr>
        <w:tc>
          <w:tcPr>
            <w:tcW w:w="3282"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404276B" w14:textId="77777777" w:rsidR="00CC2629" w:rsidRPr="00CC2629" w:rsidRDefault="00CC2629" w:rsidP="00232094">
            <w:pPr>
              <w:pStyle w:val="FinancialTableGroupFooter"/>
              <w:keepNext/>
              <w:keepLines/>
              <w:spacing w:line="276" w:lineRule="auto"/>
              <w:rPr>
                <w:rFonts w:ascii="Times New Roman" w:hAnsi="Times New Roman" w:cs="Times New Roman"/>
                <w:sz w:val="22"/>
                <w:szCs w:val="22"/>
              </w:rPr>
            </w:pPr>
            <w:r w:rsidRPr="00CC2629">
              <w:rPr>
                <w:rFonts w:ascii="Times New Roman" w:hAnsi="Times New Roman" w:cs="Times New Roman"/>
                <w:sz w:val="22"/>
                <w:szCs w:val="22"/>
              </w:rPr>
              <w:t>Net Profit / Sales</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E68E926" w14:textId="0F9AA026" w:rsidR="00CC2629" w:rsidRPr="00CC2629" w:rsidRDefault="00AE25B1"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0.3</w:t>
            </w:r>
            <w:r w:rsidR="006B629C">
              <w:rPr>
                <w:rFonts w:ascii="Times New Roman" w:hAnsi="Times New Roman" w:cs="Times New Roman"/>
                <w:sz w:val="22"/>
                <w:szCs w:val="22"/>
              </w:rPr>
              <w:t>2</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9C50FE7" w14:textId="738B557D" w:rsidR="00CC2629" w:rsidRPr="00CC2629" w:rsidRDefault="00360BF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w:t>
            </w:r>
            <w:r w:rsidR="006B629C">
              <w:rPr>
                <w:rFonts w:ascii="Times New Roman" w:hAnsi="Times New Roman" w:cs="Times New Roman"/>
                <w:sz w:val="22"/>
                <w:szCs w:val="22"/>
              </w:rPr>
              <w:t>3</w:t>
            </w:r>
            <w:r>
              <w:rPr>
                <w:rFonts w:ascii="Times New Roman" w:hAnsi="Times New Roman" w:cs="Times New Roman"/>
                <w:sz w:val="22"/>
                <w:szCs w:val="22"/>
              </w:rPr>
              <w:t>7</w:t>
            </w:r>
          </w:p>
        </w:tc>
        <w:tc>
          <w:tcPr>
            <w:tcW w:w="2029"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FFD420" w14:textId="31AC7880" w:rsidR="00CC2629" w:rsidRPr="00CC2629" w:rsidRDefault="00360BF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w:t>
            </w:r>
            <w:r w:rsidR="006B629C">
              <w:rPr>
                <w:rFonts w:ascii="Times New Roman" w:hAnsi="Times New Roman" w:cs="Times New Roman"/>
                <w:sz w:val="22"/>
                <w:szCs w:val="22"/>
              </w:rPr>
              <w:t>4</w:t>
            </w:r>
          </w:p>
        </w:tc>
      </w:tr>
    </w:tbl>
    <w:p w14:paraId="09B49B52" w14:textId="06EE3D25" w:rsidR="00CC2629" w:rsidRDefault="00CC2629" w:rsidP="00232094">
      <w:pPr>
        <w:spacing w:line="276" w:lineRule="auto"/>
      </w:pPr>
    </w:p>
    <w:p w14:paraId="7CAC7015" w14:textId="7E54D172" w:rsidR="00094D34" w:rsidRDefault="00094D34" w:rsidP="00232094">
      <w:pPr>
        <w:spacing w:line="276" w:lineRule="auto"/>
      </w:pPr>
    </w:p>
    <w:p w14:paraId="16F3F5BB" w14:textId="2826CF64" w:rsidR="00094D34" w:rsidRDefault="00094D34" w:rsidP="00232094">
      <w:pPr>
        <w:spacing w:line="276" w:lineRule="auto"/>
      </w:pPr>
    </w:p>
    <w:p w14:paraId="501855E7" w14:textId="77777777" w:rsidR="004A63B7" w:rsidRDefault="004A63B7" w:rsidP="00232094">
      <w:pPr>
        <w:spacing w:line="276" w:lineRule="auto"/>
      </w:pPr>
    </w:p>
    <w:p w14:paraId="2AFA557C" w14:textId="4BC4986C" w:rsidR="00094D34" w:rsidRDefault="00094D34" w:rsidP="00232094">
      <w:pPr>
        <w:spacing w:line="276" w:lineRule="auto"/>
        <w:rPr>
          <w:b/>
        </w:rPr>
      </w:pPr>
      <w:r>
        <w:rPr>
          <w:b/>
        </w:rPr>
        <w:lastRenderedPageBreak/>
        <w:t>Projected Profit &amp; Loss:</w:t>
      </w:r>
    </w:p>
    <w:tbl>
      <w:tblPr>
        <w:tblW w:w="9359" w:type="dxa"/>
        <w:jc w:val="center"/>
        <w:tblLayout w:type="fixed"/>
        <w:tblLook w:val="04A0" w:firstRow="1" w:lastRow="0" w:firstColumn="1" w:lastColumn="0" w:noHBand="0" w:noVBand="1"/>
      </w:tblPr>
      <w:tblGrid>
        <w:gridCol w:w="3278"/>
        <w:gridCol w:w="2027"/>
        <w:gridCol w:w="2027"/>
        <w:gridCol w:w="2027"/>
      </w:tblGrid>
      <w:tr w:rsidR="00094D34" w:rsidRPr="00094D34" w14:paraId="797F3342" w14:textId="77777777" w:rsidTr="00E84702">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78E6CD6" w14:textId="77777777" w:rsidR="00094D34" w:rsidRPr="00094D34" w:rsidRDefault="00094D34" w:rsidP="00232094">
            <w:pPr>
              <w:pStyle w:val="FinancialTableHeader"/>
              <w:keepNext/>
              <w:keepLines/>
              <w:spacing w:line="276" w:lineRule="auto"/>
              <w:rPr>
                <w:rFonts w:ascii="Times New Roman" w:hAnsi="Times New Roman" w:cs="Times New Roman"/>
                <w:sz w:val="22"/>
                <w:szCs w:val="22"/>
              </w:rPr>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DF23119" w14:textId="77777777" w:rsidR="00094D34" w:rsidRPr="00094D34" w:rsidRDefault="00094D34" w:rsidP="00232094">
            <w:pPr>
              <w:pStyle w:val="FinancialTableHeader"/>
              <w:keepNext/>
              <w:keepLines/>
              <w:spacing w:line="276" w:lineRule="auto"/>
              <w:jc w:val="right"/>
              <w:rPr>
                <w:rFonts w:ascii="Times New Roman" w:hAnsi="Times New Roman" w:cs="Times New Roman"/>
                <w:sz w:val="22"/>
                <w:szCs w:val="22"/>
              </w:rPr>
            </w:pPr>
            <w:r w:rsidRPr="00094D34">
              <w:rPr>
                <w:rFonts w:ascii="Times New Roman" w:hAnsi="Times New Roman" w:cs="Times New Roman"/>
                <w:sz w:val="22"/>
                <w:szCs w:val="22"/>
              </w:rPr>
              <w:t>FY2018</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F526061" w14:textId="77777777" w:rsidR="00094D34" w:rsidRPr="00094D34" w:rsidRDefault="00094D34" w:rsidP="00232094">
            <w:pPr>
              <w:pStyle w:val="FinancialTableHeader"/>
              <w:keepNext/>
              <w:keepLines/>
              <w:spacing w:line="276" w:lineRule="auto"/>
              <w:jc w:val="right"/>
              <w:rPr>
                <w:rFonts w:ascii="Times New Roman" w:hAnsi="Times New Roman" w:cs="Times New Roman"/>
                <w:sz w:val="22"/>
                <w:szCs w:val="22"/>
              </w:rPr>
            </w:pPr>
            <w:r w:rsidRPr="00094D34">
              <w:rPr>
                <w:rFonts w:ascii="Times New Roman" w:hAnsi="Times New Roman" w:cs="Times New Roman"/>
                <w:sz w:val="22"/>
                <w:szCs w:val="22"/>
              </w:rPr>
              <w:t>FY2019</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64829F9" w14:textId="77777777" w:rsidR="00094D34" w:rsidRPr="00094D34" w:rsidRDefault="00094D34" w:rsidP="00232094">
            <w:pPr>
              <w:pStyle w:val="FinancialTableHeader"/>
              <w:keepNext/>
              <w:keepLines/>
              <w:spacing w:line="276" w:lineRule="auto"/>
              <w:jc w:val="right"/>
              <w:rPr>
                <w:rFonts w:ascii="Times New Roman" w:hAnsi="Times New Roman" w:cs="Times New Roman"/>
                <w:sz w:val="22"/>
                <w:szCs w:val="22"/>
              </w:rPr>
            </w:pPr>
            <w:r w:rsidRPr="00094D34">
              <w:rPr>
                <w:rFonts w:ascii="Times New Roman" w:hAnsi="Times New Roman" w:cs="Times New Roman"/>
                <w:sz w:val="22"/>
                <w:szCs w:val="22"/>
              </w:rPr>
              <w:t>FY2020</w:t>
            </w:r>
          </w:p>
        </w:tc>
      </w:tr>
      <w:tr w:rsidR="00094D34" w:rsidRPr="00094D34" w14:paraId="1F3701D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FDE6A35"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Cash</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29D3737" w14:textId="609F213C"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5C0927" w14:textId="53CAD22A"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9D804A4" w14:textId="26ED6728"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6766638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C4F3F8C"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Accounts Receivable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45A38B" w14:textId="276D7E0F"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$4.26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9FE27D" w14:textId="779D6479"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$4.58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C0AAD4" w14:textId="4BD90B9B"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 million</w:t>
            </w:r>
          </w:p>
        </w:tc>
      </w:tr>
      <w:tr w:rsidR="00094D34" w:rsidRPr="00094D34" w14:paraId="647FDC61"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E05FE93"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Inventory</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042BE4" w14:textId="27411AB3"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147F2D" w14:textId="07AA192D"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B5FC7C6" w14:textId="23948627" w:rsidR="00094D34" w:rsidRPr="00094D34" w:rsidRDefault="00A07EDC"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05D449D5"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8367332"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Other Current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EE0599" w14:textId="0BB16057" w:rsidR="00094D34" w:rsidRPr="00094D34" w:rsidRDefault="00A13F0D"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59C6E0" w14:textId="2EC9A134" w:rsidR="00094D34" w:rsidRPr="00094D34" w:rsidRDefault="00A13F0D"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02F68CD" w14:textId="083A1931" w:rsidR="00094D34" w:rsidRPr="00094D34" w:rsidRDefault="00A13F0D"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2FC4D1A7"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C211D30" w14:textId="77777777" w:rsidR="00094D34" w:rsidRPr="00094D34" w:rsidRDefault="00094D34" w:rsidP="00232094">
            <w:pPr>
              <w:pStyle w:val="FinancialTableGroupHead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Current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D6985BD" w14:textId="3288221C" w:rsidR="00094D34" w:rsidRPr="00094D34" w:rsidRDefault="00A13F0D" w:rsidP="00232094">
            <w:pPr>
              <w:pStyle w:val="FinancialTableGroupHeader"/>
              <w:keepNext/>
              <w:keepLines/>
              <w:spacing w:line="276" w:lineRule="auto"/>
              <w:jc w:val="right"/>
              <w:rPr>
                <w:rFonts w:ascii="Times New Roman" w:hAnsi="Times New Roman" w:cs="Times New Roman"/>
                <w:sz w:val="22"/>
                <w:szCs w:val="22"/>
              </w:rPr>
            </w:pPr>
            <w:r w:rsidRPr="00A13F0D">
              <w:rPr>
                <w:rFonts w:ascii="Times New Roman" w:hAnsi="Times New Roman" w:cs="Times New Roman"/>
                <w:sz w:val="22"/>
                <w:szCs w:val="22"/>
              </w:rPr>
              <w:t>$4.26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3C928E" w14:textId="2A013CE8" w:rsidR="00094D34" w:rsidRPr="00094D34" w:rsidRDefault="00A13F0D"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$4.58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2CF24D6" w14:textId="5EE9345A" w:rsidR="00094D34" w:rsidRPr="00094D34" w:rsidRDefault="00A13F0D"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 million</w:t>
            </w:r>
          </w:p>
        </w:tc>
      </w:tr>
      <w:tr w:rsidR="00094D34" w:rsidRPr="00094D34" w14:paraId="71D5C872"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CABB814"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C1AAE3"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AC59536"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8FA3526"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6FF39367"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177AEDB"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Long-Term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77BE1B2" w14:textId="00B232AE" w:rsidR="00094D34" w:rsidRPr="00094D34" w:rsidRDefault="00EE4D76"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68E5736" w14:textId="073EAD94" w:rsidR="00094D34" w:rsidRPr="00094D34" w:rsidRDefault="00EE4D76"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DB47B85" w14:textId="0A95B0BB" w:rsidR="00094D34" w:rsidRPr="00094D34" w:rsidRDefault="00EE4D76"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r>
      <w:tr w:rsidR="00094D34" w:rsidRPr="00094D34" w14:paraId="029DE6D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E6ABA72"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Accumulated Depreciation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F7F9423" w14:textId="727A9C15"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$3800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C62CBC5" w14:textId="6E7AB0C0"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$3800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30223A" w14:textId="436B2D97"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$3800</w:t>
            </w:r>
          </w:p>
        </w:tc>
      </w:tr>
      <w:tr w:rsidR="00094D34" w:rsidRPr="00094D34" w14:paraId="15D8A496"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EAE4CF3" w14:textId="77777777" w:rsidR="00094D34" w:rsidRPr="00094D34" w:rsidRDefault="00094D34" w:rsidP="00232094">
            <w:pPr>
              <w:pStyle w:val="FinancialTableGroupHead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Long-Term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CB0DF9" w14:textId="382E1F67" w:rsidR="00094D34" w:rsidRPr="00094D34" w:rsidRDefault="00ED0517"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$11500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E3F86D" w14:textId="7A1B3145" w:rsidR="00094D34" w:rsidRPr="00094D34" w:rsidRDefault="00ED0517"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$11500</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BE47E2" w14:textId="49C1F1EA" w:rsidR="00094D34" w:rsidRPr="00094D34" w:rsidRDefault="00ED0517"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$11500</w:t>
            </w:r>
          </w:p>
        </w:tc>
      </w:tr>
      <w:tr w:rsidR="00094D34" w:rsidRPr="00094D34" w14:paraId="431F831C"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32ECF28"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5CE0202"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2FBD59"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7FE922"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1DE2DE72" w14:textId="77777777" w:rsidTr="00E84702">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2AF5A722" w14:textId="77777777" w:rsidR="00094D34" w:rsidRPr="00094D34" w:rsidRDefault="00094D34" w:rsidP="00232094">
            <w:pPr>
              <w:pStyle w:val="FinancialTableGroupFoot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Assets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D1994A6" w14:textId="301CD112" w:rsidR="00094D34" w:rsidRPr="00094D34" w:rsidRDefault="00ED0517"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$4.27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9688137" w14:textId="15ACD82C" w:rsidR="00094D34" w:rsidRPr="00094D34" w:rsidRDefault="00ED0517"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$4.56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931FDD0" w14:textId="78E3CF8D" w:rsidR="00094D34" w:rsidRPr="00094D34" w:rsidRDefault="00ED0517"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$5.01 million</w:t>
            </w:r>
          </w:p>
        </w:tc>
      </w:tr>
      <w:tr w:rsidR="00094D34" w:rsidRPr="00094D34" w14:paraId="23758329"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37C72A3"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846AC08"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42A06C"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113043"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7C550C72"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E358971"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Accounts Payable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E6B42E" w14:textId="12B23001"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9B1391" w14:textId="58E84B43"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74A66C2" w14:textId="629C2C51" w:rsidR="00094D34" w:rsidRPr="00094D34" w:rsidRDefault="00ED051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0E8194E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5CB67E0" w14:textId="1B1D73DD" w:rsidR="00094D34" w:rsidRPr="00094D34" w:rsidRDefault="00FD695A" w:rsidP="00232094">
            <w:pPr>
              <w:pStyle w:val="FinancialTableItem"/>
              <w:keepNext/>
              <w:keepLines/>
              <w:spacing w:line="276" w:lineRule="auto"/>
              <w:rPr>
                <w:rFonts w:ascii="Times New Roman" w:hAnsi="Times New Roman" w:cs="Times New Roman"/>
                <w:sz w:val="22"/>
                <w:szCs w:val="22"/>
              </w:rPr>
            </w:pPr>
            <w:r>
              <w:rPr>
                <w:rFonts w:ascii="Times New Roman" w:hAnsi="Times New Roman" w:cs="Times New Roman"/>
                <w:sz w:val="22"/>
                <w:szCs w:val="22"/>
              </w:rPr>
              <w:t>GST</w:t>
            </w:r>
            <w:r w:rsidR="00094D34" w:rsidRPr="00094D34">
              <w:rPr>
                <w:rFonts w:ascii="Times New Roman" w:hAnsi="Times New Roman" w:cs="Times New Roman"/>
                <w:sz w:val="22"/>
                <w:szCs w:val="22"/>
              </w:rPr>
              <w:t xml:space="preserve"> Payable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5CDCF5" w14:textId="69BE3140" w:rsidR="00094D34" w:rsidRPr="00094D34" w:rsidRDefault="00FD695A"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0958203" w14:textId="40744A74" w:rsidR="00094D34" w:rsidRPr="00094D34" w:rsidRDefault="00FD695A"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2A99338" w14:textId="485914B0" w:rsidR="00094D34" w:rsidRPr="00094D34" w:rsidRDefault="00FD695A"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62C9BBAB"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D8C380F"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Short-Term Debt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74F7ABA" w14:textId="57EEC831"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242542" w14:textId="7E82F25D"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B64033" w14:textId="0098CF94"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7BB73B49"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0317279"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Prepaid Revenue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01869E" w14:textId="7C3E44A1"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AD28FB">
              <w:rPr>
                <w:rFonts w:ascii="Times New Roman" w:hAnsi="Times New Roman" w:cs="Times New Roman"/>
                <w:sz w:val="22"/>
                <w:szCs w:val="22"/>
              </w:rPr>
              <w:t>3.</w:t>
            </w:r>
            <w:r>
              <w:rPr>
                <w:rFonts w:ascii="Times New Roman" w:hAnsi="Times New Roman" w:cs="Times New Roman"/>
                <w:sz w:val="22"/>
                <w:szCs w:val="22"/>
              </w:rPr>
              <w:t>6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9961C36" w14:textId="03E6D76F" w:rsidR="00094D34" w:rsidRPr="00094D34" w:rsidRDefault="00AD28F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$3.6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C52207" w14:textId="331B14C9" w:rsidR="00094D34" w:rsidRPr="00094D34" w:rsidRDefault="00AD28FB"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$3.6 million</w:t>
            </w:r>
          </w:p>
        </w:tc>
      </w:tr>
      <w:tr w:rsidR="00094D34" w:rsidRPr="00094D34" w14:paraId="695B223D"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F6A4A11" w14:textId="77777777" w:rsidR="00094D34" w:rsidRPr="00094D34" w:rsidRDefault="00094D34" w:rsidP="00232094">
            <w:pPr>
              <w:pStyle w:val="FinancialTableGroupHead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Current Liabilities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A85367" w14:textId="654D0DD5" w:rsidR="00094D34" w:rsidRPr="00094D34" w:rsidRDefault="00AD28FB"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$3.6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3947F78" w14:textId="41CE1810" w:rsidR="00094D34" w:rsidRPr="00094D34" w:rsidRDefault="00AD28FB"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$3.6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EAEB8B" w14:textId="6E4A8B0F" w:rsidR="00094D34" w:rsidRPr="00094D34" w:rsidRDefault="00AD28FB" w:rsidP="00232094">
            <w:pPr>
              <w:pStyle w:val="FinancialTableGroupHead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$3.6 million</w:t>
            </w:r>
          </w:p>
        </w:tc>
      </w:tr>
      <w:tr w:rsidR="00094D34" w:rsidRPr="00094D34" w14:paraId="12596086"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83D69D4"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Long-Term Debt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11EAE5" w14:textId="6C171AF4"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56D16DB" w14:textId="4D71F3B5"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1283DB" w14:textId="279F4457" w:rsidR="00094D34" w:rsidRPr="00094D34" w:rsidRDefault="00E84702"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1EAA65D3"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9D8A0BE"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9B4501"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DB3291B"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3CC04E"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02781D25" w14:textId="77777777" w:rsidTr="00E84702">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A11224D" w14:textId="77777777" w:rsidR="00094D34" w:rsidRPr="00094D34" w:rsidRDefault="00094D34" w:rsidP="00232094">
            <w:pPr>
              <w:pStyle w:val="FinancialTableGroupFoot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Liabilities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E5DA4DC" w14:textId="42BE198E" w:rsidR="00094D34" w:rsidRPr="00094D34" w:rsidRDefault="00AD28FB"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$3.6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98A714C" w14:textId="28320284" w:rsidR="00094D34" w:rsidRPr="00094D34" w:rsidRDefault="00AD28FB"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$3.6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F296798" w14:textId="09D696EB" w:rsidR="00094D34" w:rsidRPr="00094D34" w:rsidRDefault="00AD28FB"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$3.6 million</w:t>
            </w:r>
          </w:p>
        </w:tc>
      </w:tr>
      <w:tr w:rsidR="00094D34" w:rsidRPr="00094D34" w14:paraId="0A10B5FF"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502CFA2"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7E466B9"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45B521"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42785F" w14:textId="77777777" w:rsidR="00094D34" w:rsidRPr="00094D34" w:rsidRDefault="00094D34" w:rsidP="00232094">
            <w:pPr>
              <w:pStyle w:val="FinancialTableSpacer"/>
              <w:keepNext/>
              <w:keepLines/>
              <w:spacing w:line="276" w:lineRule="auto"/>
              <w:jc w:val="right"/>
              <w:rPr>
                <w:sz w:val="22"/>
                <w:szCs w:val="22"/>
              </w:rPr>
            </w:pPr>
          </w:p>
        </w:tc>
      </w:tr>
      <w:tr w:rsidR="00094D34" w:rsidRPr="00094D34" w14:paraId="22C21EC9"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E22B72D"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Paid-in Capital</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DA1462" w14:textId="5F2884FB"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4CE80A" w14:textId="30828600"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A6EABD1" w14:textId="1A5B684C"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094D34" w:rsidRPr="00094D34" w14:paraId="4CDFB260"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C23BECB"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Retained Earnings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5B26F2" w14:textId="4D98CBB6"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$1.38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F1EA68" w14:textId="10BEBB40"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$3.08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BA5F1E" w14:textId="40D6D9A0"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$5.08 million</w:t>
            </w:r>
          </w:p>
        </w:tc>
      </w:tr>
      <w:tr w:rsidR="00094D34" w:rsidRPr="00094D34" w14:paraId="28EEEAA0" w14:textId="77777777" w:rsidTr="00E84702">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CCAFAB8" w14:textId="77777777" w:rsidR="00094D34" w:rsidRPr="00094D34" w:rsidRDefault="00094D34" w:rsidP="00232094">
            <w:pPr>
              <w:pStyle w:val="FinancialTableItem"/>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Earnings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01499F" w14:textId="0D67ACB7"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$1.38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723E5E" w14:textId="1943D6FF"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$1.7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7CF5B50" w14:textId="4D396F74" w:rsidR="00094D34" w:rsidRPr="00094D34" w:rsidRDefault="008E1437"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 million</w:t>
            </w:r>
          </w:p>
        </w:tc>
      </w:tr>
      <w:tr w:rsidR="00094D34" w:rsidRPr="00094D34" w14:paraId="6E88E6F7" w14:textId="77777777" w:rsidTr="00E84702">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70ABB871" w14:textId="77777777" w:rsidR="00094D34" w:rsidRPr="00094D34" w:rsidRDefault="00094D34" w:rsidP="00232094">
            <w:pPr>
              <w:pStyle w:val="FinancialTableGroupFooter"/>
              <w:keepNext/>
              <w:keepLines/>
              <w:spacing w:line="276" w:lineRule="auto"/>
              <w:rPr>
                <w:rFonts w:ascii="Times New Roman" w:hAnsi="Times New Roman" w:cs="Times New Roman"/>
                <w:sz w:val="22"/>
                <w:szCs w:val="22"/>
              </w:rPr>
            </w:pPr>
            <w:r w:rsidRPr="00094D34">
              <w:rPr>
                <w:rFonts w:ascii="Times New Roman" w:hAnsi="Times New Roman" w:cs="Times New Roman"/>
                <w:sz w:val="22"/>
                <w:szCs w:val="22"/>
              </w:rPr>
              <w:t>Total Owner's Equity</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6CFA95C" w14:textId="5059718C" w:rsidR="00094D34" w:rsidRPr="00094D34" w:rsidRDefault="006E5975"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$0.67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A0EDE2" w14:textId="5E71BEC9" w:rsidR="00094D34" w:rsidRPr="00094D34" w:rsidRDefault="006E5975"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$0.96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3D2F189" w14:textId="01892BCA" w:rsidR="00094D34" w:rsidRPr="00094D34" w:rsidRDefault="006E5975"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$1.41 million</w:t>
            </w:r>
          </w:p>
        </w:tc>
      </w:tr>
      <w:tr w:rsidR="00094D34" w:rsidRPr="00094D34" w14:paraId="32A4C2F8" w14:textId="77777777" w:rsidTr="00E84702">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511758A" w14:textId="77777777" w:rsidR="00094D34" w:rsidRPr="00094D34" w:rsidRDefault="00094D34" w:rsidP="00232094">
            <w:pPr>
              <w:pStyle w:val="FinancialTableSpacer"/>
              <w:keepNext/>
              <w:keepLines/>
              <w:spacing w:line="276" w:lineRule="auto"/>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9D6E082"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6FCFF8" w14:textId="77777777" w:rsidR="00094D34" w:rsidRPr="00094D34" w:rsidRDefault="00094D34" w:rsidP="00232094">
            <w:pPr>
              <w:pStyle w:val="FinancialTableSpacer"/>
              <w:keepNext/>
              <w:keepLines/>
              <w:spacing w:line="276" w:lineRule="auto"/>
              <w:jc w:val="right"/>
              <w:rPr>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38A106C" w14:textId="77777777" w:rsidR="00094D34" w:rsidRPr="00094D34" w:rsidRDefault="00094D34" w:rsidP="00232094">
            <w:pPr>
              <w:pStyle w:val="FinancialTableSpacer"/>
              <w:keepNext/>
              <w:keepLines/>
              <w:spacing w:line="276" w:lineRule="auto"/>
              <w:jc w:val="right"/>
              <w:rPr>
                <w:sz w:val="22"/>
                <w:szCs w:val="22"/>
              </w:rPr>
            </w:pPr>
          </w:p>
        </w:tc>
      </w:tr>
    </w:tbl>
    <w:p w14:paraId="34B8A763" w14:textId="58E21B63" w:rsidR="00094D34" w:rsidRDefault="00094D34" w:rsidP="00232094">
      <w:pPr>
        <w:spacing w:line="276" w:lineRule="auto"/>
      </w:pPr>
    </w:p>
    <w:p w14:paraId="75418C10" w14:textId="77777777" w:rsidR="00310F94" w:rsidRDefault="00310F94" w:rsidP="00232094">
      <w:pPr>
        <w:spacing w:line="276" w:lineRule="auto"/>
      </w:pPr>
    </w:p>
    <w:p w14:paraId="769759A4" w14:textId="2756DCA5" w:rsidR="00AD12F4" w:rsidRDefault="00AD12F4" w:rsidP="00232094">
      <w:pPr>
        <w:spacing w:line="276" w:lineRule="auto"/>
      </w:pPr>
    </w:p>
    <w:p w14:paraId="4A5B7E48" w14:textId="33086FEA" w:rsidR="00AD12F4" w:rsidRDefault="00AD12F4" w:rsidP="00232094">
      <w:pPr>
        <w:spacing w:line="276" w:lineRule="auto"/>
      </w:pPr>
    </w:p>
    <w:p w14:paraId="65BA4317" w14:textId="35ACB674" w:rsidR="00AD12F4" w:rsidRDefault="00AD12F4" w:rsidP="00232094">
      <w:pPr>
        <w:spacing w:line="276" w:lineRule="auto"/>
      </w:pPr>
    </w:p>
    <w:p w14:paraId="3DE04599" w14:textId="5FDAE708" w:rsidR="00AD12F4" w:rsidRDefault="00AD12F4" w:rsidP="00232094">
      <w:pPr>
        <w:spacing w:line="276" w:lineRule="auto"/>
      </w:pPr>
    </w:p>
    <w:p w14:paraId="6BDDFFAF" w14:textId="3EA6DE5A" w:rsidR="00AD12F4" w:rsidRDefault="00AD12F4" w:rsidP="00232094">
      <w:pPr>
        <w:spacing w:line="276" w:lineRule="auto"/>
      </w:pPr>
    </w:p>
    <w:p w14:paraId="22ACED40" w14:textId="24C76B51" w:rsidR="00AD12F4" w:rsidRDefault="00AD12F4" w:rsidP="00232094">
      <w:pPr>
        <w:spacing w:line="276" w:lineRule="auto"/>
      </w:pPr>
    </w:p>
    <w:p w14:paraId="4D8EA965" w14:textId="77777777" w:rsidR="004A63B7" w:rsidRDefault="004A63B7" w:rsidP="00232094">
      <w:pPr>
        <w:spacing w:line="276" w:lineRule="auto"/>
      </w:pPr>
    </w:p>
    <w:p w14:paraId="3D970AEC" w14:textId="50A4639F" w:rsidR="00AD12F4" w:rsidRDefault="00AD12F4" w:rsidP="00232094">
      <w:pPr>
        <w:spacing w:line="276" w:lineRule="auto"/>
        <w:rPr>
          <w:b/>
        </w:rPr>
      </w:pPr>
      <w:r>
        <w:rPr>
          <w:b/>
        </w:rPr>
        <w:t>Projected Cash flow statement:</w:t>
      </w:r>
    </w:p>
    <w:tbl>
      <w:tblPr>
        <w:tblW w:w="9359" w:type="dxa"/>
        <w:jc w:val="center"/>
        <w:tblLayout w:type="fixed"/>
        <w:tblLook w:val="04A0" w:firstRow="1" w:lastRow="0" w:firstColumn="1" w:lastColumn="0" w:noHBand="0" w:noVBand="1"/>
      </w:tblPr>
      <w:tblGrid>
        <w:gridCol w:w="3278"/>
        <w:gridCol w:w="2027"/>
        <w:gridCol w:w="2027"/>
        <w:gridCol w:w="2027"/>
      </w:tblGrid>
      <w:tr w:rsidR="00EB370A" w:rsidRPr="009D2781" w14:paraId="53AF6363" w14:textId="77777777" w:rsidTr="00A65EB6">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2876152" w14:textId="77777777" w:rsidR="00EB370A" w:rsidRPr="009D2781" w:rsidRDefault="00EB370A" w:rsidP="00232094">
            <w:pPr>
              <w:pStyle w:val="FinancialTableHeader"/>
              <w:keepNext/>
              <w:keepLines/>
              <w:spacing w:line="276" w:lineRule="auto"/>
              <w:rPr>
                <w:rFonts w:ascii="Times New Roman" w:hAnsi="Times New Roman" w:cs="Times New Roman"/>
                <w:sz w:val="22"/>
                <w:szCs w:val="22"/>
              </w:rPr>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EAD3BE9" w14:textId="77777777" w:rsidR="00EB370A" w:rsidRPr="009D2781" w:rsidRDefault="00EB370A" w:rsidP="00232094">
            <w:pPr>
              <w:pStyle w:val="FinancialTableHeader"/>
              <w:keepNext/>
              <w:keepLines/>
              <w:spacing w:line="276" w:lineRule="auto"/>
              <w:jc w:val="right"/>
              <w:rPr>
                <w:rFonts w:ascii="Times New Roman" w:hAnsi="Times New Roman" w:cs="Times New Roman"/>
                <w:sz w:val="22"/>
                <w:szCs w:val="22"/>
              </w:rPr>
            </w:pPr>
            <w:r w:rsidRPr="009D2781">
              <w:rPr>
                <w:rFonts w:ascii="Times New Roman" w:hAnsi="Times New Roman" w:cs="Times New Roman"/>
                <w:sz w:val="22"/>
                <w:szCs w:val="22"/>
              </w:rPr>
              <w:t>FY2018</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6E05189" w14:textId="77777777" w:rsidR="00EB370A" w:rsidRPr="009D2781" w:rsidRDefault="00EB370A" w:rsidP="00232094">
            <w:pPr>
              <w:pStyle w:val="FinancialTableHeader"/>
              <w:keepNext/>
              <w:keepLines/>
              <w:spacing w:line="276" w:lineRule="auto"/>
              <w:jc w:val="right"/>
              <w:rPr>
                <w:rFonts w:ascii="Times New Roman" w:hAnsi="Times New Roman" w:cs="Times New Roman"/>
                <w:sz w:val="22"/>
                <w:szCs w:val="22"/>
              </w:rPr>
            </w:pPr>
            <w:r w:rsidRPr="009D2781">
              <w:rPr>
                <w:rFonts w:ascii="Times New Roman" w:hAnsi="Times New Roman" w:cs="Times New Roman"/>
                <w:sz w:val="22"/>
                <w:szCs w:val="22"/>
              </w:rPr>
              <w:t>FY2019</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6A499DB" w14:textId="77777777" w:rsidR="00EB370A" w:rsidRPr="009D2781" w:rsidRDefault="00EB370A" w:rsidP="00232094">
            <w:pPr>
              <w:pStyle w:val="FinancialTableHeader"/>
              <w:keepNext/>
              <w:keepLines/>
              <w:spacing w:line="276" w:lineRule="auto"/>
              <w:jc w:val="right"/>
              <w:rPr>
                <w:rFonts w:ascii="Times New Roman" w:hAnsi="Times New Roman" w:cs="Times New Roman"/>
                <w:sz w:val="22"/>
                <w:szCs w:val="22"/>
              </w:rPr>
            </w:pPr>
            <w:r w:rsidRPr="009D2781">
              <w:rPr>
                <w:rFonts w:ascii="Times New Roman" w:hAnsi="Times New Roman" w:cs="Times New Roman"/>
                <w:sz w:val="22"/>
                <w:szCs w:val="22"/>
              </w:rPr>
              <w:t>FY2020</w:t>
            </w:r>
          </w:p>
        </w:tc>
      </w:tr>
      <w:tr w:rsidR="00EB370A" w:rsidRPr="009D2781" w14:paraId="47C588BE"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A84BE56" w14:textId="77777777" w:rsidR="00EB370A" w:rsidRPr="009D2781" w:rsidRDefault="00EB370A" w:rsidP="00232094">
            <w:pPr>
              <w:pStyle w:val="FinancialTableGroupHead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Cash Flow from Operations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8695E7"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3317C49"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C79CD4A"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r>
      <w:tr w:rsidR="00EB370A" w:rsidRPr="009D2781" w14:paraId="3508CBB6"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001BBA58"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Profit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2C862DD" w14:textId="1105E484"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$1.38 million</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C85882A" w14:textId="5AB0A4C3"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$1.7 million</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9C566E2" w14:textId="01110BB2"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 million</w:t>
            </w:r>
          </w:p>
        </w:tc>
      </w:tr>
      <w:tr w:rsidR="00EB370A" w:rsidRPr="009D2781" w14:paraId="696867EA"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D7BD644"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Depreciation and Amortization</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2D7BDAE" w14:textId="05FA5F5E"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99480EC" w14:textId="7129595C"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122A6DE" w14:textId="5A561D4F" w:rsidR="00EB370A" w:rsidRPr="009D2781" w:rsidRDefault="009D2781"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5C4C3F95"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656770F8"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Accounts Receivable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C65C8B0" w14:textId="02689E41" w:rsidR="00EB370A" w:rsidRPr="009D2781" w:rsidRDefault="0015490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7D0E5AB" w14:textId="028BCD47" w:rsidR="00EB370A" w:rsidRPr="009D2781" w:rsidRDefault="0015490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407DA3E" w14:textId="484ECFF9" w:rsidR="00EB370A" w:rsidRPr="009D2781" w:rsidRDefault="0015490F"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24840B4F"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43026C5"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Inventory</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64C4621" w14:textId="2B6C4F0B"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72B55D9" w14:textId="75211E14"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4895B66" w14:textId="128BD13E"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05DF6CD9"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8B29277"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Accounts Payable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5A9C4FB" w14:textId="09C6209E"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CF6C4CD" w14:textId="10DDFE08"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1E8AA70" w14:textId="18E6E143"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6759DB56"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675F7282" w14:textId="6A17B4B3"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 xml:space="preserve">Change in </w:t>
            </w:r>
            <w:r w:rsidR="00A65EB6">
              <w:rPr>
                <w:rFonts w:ascii="Times New Roman" w:hAnsi="Times New Roman" w:cs="Times New Roman"/>
                <w:sz w:val="22"/>
                <w:szCs w:val="22"/>
              </w:rPr>
              <w:t>GST</w:t>
            </w:r>
            <w:r w:rsidRPr="009D2781">
              <w:rPr>
                <w:rFonts w:ascii="Times New Roman" w:hAnsi="Times New Roman" w:cs="Times New Roman"/>
                <w:sz w:val="22"/>
                <w:szCs w:val="22"/>
              </w:rPr>
              <w:t xml:space="preserve"> Payable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53B8CF79" w14:textId="567E5845"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3FC4486" w14:textId="2F6727F6"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FDDB447" w14:textId="2374E4E8"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461414B0"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C94F44B"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Prepaid Revenue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96CC786" w14:textId="2A7C34FC"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D2F3733" w14:textId="7A0967FB"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7655900" w14:textId="55E7107A" w:rsidR="00EB370A" w:rsidRPr="009D2781" w:rsidRDefault="00A65EB6"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4A29FFB3" w14:textId="77777777" w:rsidTr="00A65EB6">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B6A8CEA" w14:textId="77777777" w:rsidR="00EB370A" w:rsidRPr="009D2781" w:rsidRDefault="00EB370A" w:rsidP="00232094">
            <w:pPr>
              <w:pStyle w:val="FinancialTableGroupFoot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Cash Flow from Operations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1ACB2D8" w14:textId="624EFD52" w:rsidR="00EB370A" w:rsidRPr="009D2781" w:rsidRDefault="00A65EB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$1.38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955C709" w14:textId="3AC99D81" w:rsidR="00EB370A" w:rsidRPr="009D2781" w:rsidRDefault="00A65EB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$1.7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AC17172" w14:textId="140D31F1" w:rsidR="00EB370A" w:rsidRPr="009D2781" w:rsidRDefault="00A65EB6"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 million</w:t>
            </w:r>
          </w:p>
        </w:tc>
      </w:tr>
      <w:tr w:rsidR="00EB370A" w:rsidRPr="009D2781" w14:paraId="53083EE0"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8435556" w14:textId="77777777" w:rsidR="00EB370A" w:rsidRPr="009D2781" w:rsidRDefault="00EB370A" w:rsidP="00232094">
            <w:pPr>
              <w:pStyle w:val="FinancialTableGroupHead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Investing &amp; Financing</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2D9FE1"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5B5A33"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A019BE" w14:textId="77777777" w:rsidR="00EB370A" w:rsidRPr="009D2781" w:rsidRDefault="00EB370A" w:rsidP="00232094">
            <w:pPr>
              <w:pStyle w:val="FinancialTableGroupHeader"/>
              <w:keepNext/>
              <w:keepLines/>
              <w:spacing w:line="276" w:lineRule="auto"/>
              <w:jc w:val="right"/>
              <w:rPr>
                <w:rFonts w:ascii="Times New Roman" w:hAnsi="Times New Roman" w:cs="Times New Roman"/>
                <w:sz w:val="22"/>
                <w:szCs w:val="22"/>
              </w:rPr>
            </w:pPr>
          </w:p>
        </w:tc>
      </w:tr>
      <w:tr w:rsidR="007D02F9" w:rsidRPr="009D2781" w14:paraId="4DEA0AEB"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E6101B2" w14:textId="77777777" w:rsidR="007D02F9" w:rsidRPr="009D2781" w:rsidRDefault="007D02F9"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Assets Purchased or Sold</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A8B1734" w14:textId="4BE52BA7" w:rsidR="007D02F9"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506045F" w14:textId="730FD88F" w:rsidR="007D02F9"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2E2B297" w14:textId="6C1A85C3" w:rsidR="007D02F9"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4028EC61"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6B1BED4"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Investments Received</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BF29340" w14:textId="3C8FCF55"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407B59F" w14:textId="7411BDE1"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6CF7784" w14:textId="67AE54F3"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23AC375F"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D010E84"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Long-Term Debt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C96D085" w14:textId="25FDE3FE"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0CA4DD1" w14:textId="18204877"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5C181A0C" w14:textId="2988B1C2"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514A894C"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0D4F867"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Change in Short-Term Debt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54A466F" w14:textId="7C181F9D"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D7CE0F3" w14:textId="4481B675"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ACE8ED7" w14:textId="3F417A0D"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EB370A" w:rsidRPr="009D2781" w14:paraId="5FEA434F"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382157B" w14:textId="77777777" w:rsidR="00EB370A" w:rsidRPr="009D2781" w:rsidRDefault="00EB370A" w:rsidP="00232094">
            <w:pPr>
              <w:pStyle w:val="FinancialTableGroup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Dividends &amp; Distributions</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07EE69A" w14:textId="4DF40C81"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F617065" w14:textId="26908B27"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821B35A" w14:textId="12372C4A" w:rsidR="00EB370A" w:rsidRPr="009D2781" w:rsidRDefault="007D02F9" w:rsidP="00232094">
            <w:pPr>
              <w:pStyle w:val="FinancialTableGroup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7D02F9" w:rsidRPr="009D2781" w14:paraId="2653AF96" w14:textId="77777777" w:rsidTr="00A65EB6">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9250FB5" w14:textId="77777777" w:rsidR="007D02F9" w:rsidRPr="009D2781" w:rsidRDefault="007D02F9" w:rsidP="00232094">
            <w:pPr>
              <w:pStyle w:val="FinancialTableGroupFoot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Cash Flow from Investing &amp; Financing</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DD85CB5" w14:textId="16B57200" w:rsidR="007D02F9" w:rsidRPr="009D2781" w:rsidRDefault="007D02F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$7700</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069704F" w14:textId="2A72C39C" w:rsidR="007D02F9" w:rsidRPr="009D2781" w:rsidRDefault="007D02F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8065765" w14:textId="0FC70B98" w:rsidR="007D02F9" w:rsidRPr="009D2781" w:rsidRDefault="007D02F9"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7D02F9" w:rsidRPr="009D2781" w14:paraId="673DD6A8"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383C490" w14:textId="77777777" w:rsidR="007D02F9" w:rsidRPr="009D2781" w:rsidRDefault="007D02F9" w:rsidP="00232094">
            <w:pPr>
              <w:pStyle w:val="FinancialTable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Cash at Beginning of Period</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18B58F" w14:textId="506F457A" w:rsidR="007D02F9" w:rsidRPr="009D2781" w:rsidRDefault="007D02F9"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$2.88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BFA027E" w14:textId="4291D6D8" w:rsidR="007D02F9" w:rsidRPr="009D2781" w:rsidRDefault="007D02F9"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C278C8">
              <w:rPr>
                <w:rFonts w:ascii="Times New Roman" w:hAnsi="Times New Roman" w:cs="Times New Roman"/>
                <w:sz w:val="22"/>
                <w:szCs w:val="22"/>
              </w:rPr>
              <w:t>4.26</w:t>
            </w:r>
            <w:r>
              <w:rPr>
                <w:rFonts w:ascii="Times New Roman" w:hAnsi="Times New Roman" w:cs="Times New Roman"/>
                <w:sz w:val="22"/>
                <w:szCs w:val="22"/>
              </w:rPr>
              <w:t xml:space="preserve"> million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3E89EB" w14:textId="20D5D59A" w:rsidR="007D02F9" w:rsidRPr="009D2781" w:rsidRDefault="007D02F9"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C278C8">
              <w:rPr>
                <w:rFonts w:ascii="Times New Roman" w:hAnsi="Times New Roman" w:cs="Times New Roman"/>
                <w:sz w:val="22"/>
                <w:szCs w:val="22"/>
              </w:rPr>
              <w:t>5.86</w:t>
            </w:r>
            <w:r>
              <w:rPr>
                <w:rFonts w:ascii="Times New Roman" w:hAnsi="Times New Roman" w:cs="Times New Roman"/>
                <w:sz w:val="22"/>
                <w:szCs w:val="22"/>
              </w:rPr>
              <w:t xml:space="preserve"> million</w:t>
            </w:r>
          </w:p>
        </w:tc>
      </w:tr>
      <w:tr w:rsidR="007D02F9" w:rsidRPr="009D2781" w14:paraId="5C049570" w14:textId="77777777" w:rsidTr="00A65EB6">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A60E683" w14:textId="77777777" w:rsidR="007D02F9" w:rsidRPr="009D2781" w:rsidRDefault="007D02F9" w:rsidP="00232094">
            <w:pPr>
              <w:pStyle w:val="FinancialTableItem"/>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Net Change in Cash</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78169F" w14:textId="40AB811A" w:rsidR="007D02F9" w:rsidRPr="009D2781" w:rsidRDefault="008B5FCE"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087BDF" w14:textId="317B7F91" w:rsidR="007D02F9" w:rsidRPr="009D2781" w:rsidRDefault="002E169E"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84F700" w14:textId="69D99B44" w:rsidR="007D02F9" w:rsidRPr="009D2781" w:rsidRDefault="002E169E" w:rsidP="00232094">
            <w:pPr>
              <w:pStyle w:val="FinancialTableItem"/>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w:t>
            </w:r>
          </w:p>
        </w:tc>
      </w:tr>
      <w:tr w:rsidR="007D02F9" w:rsidRPr="009D2781" w14:paraId="6F3BBB4C" w14:textId="77777777" w:rsidTr="00A65EB6">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6E5CCBE" w14:textId="77777777" w:rsidR="007D02F9" w:rsidRPr="009D2781" w:rsidRDefault="007D02F9" w:rsidP="00232094">
            <w:pPr>
              <w:pStyle w:val="FinancialTableGroupFooter"/>
              <w:keepNext/>
              <w:keepLines/>
              <w:spacing w:line="276" w:lineRule="auto"/>
              <w:rPr>
                <w:rFonts w:ascii="Times New Roman" w:hAnsi="Times New Roman" w:cs="Times New Roman"/>
                <w:sz w:val="22"/>
                <w:szCs w:val="22"/>
              </w:rPr>
            </w:pPr>
            <w:r w:rsidRPr="009D2781">
              <w:rPr>
                <w:rFonts w:ascii="Times New Roman" w:hAnsi="Times New Roman" w:cs="Times New Roman"/>
                <w:sz w:val="22"/>
                <w:szCs w:val="22"/>
              </w:rPr>
              <w:t>Cash at End of Period</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8EC73CF" w14:textId="759B4C8C" w:rsidR="007D02F9" w:rsidRPr="009D2781" w:rsidRDefault="008B5FCE"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$4.26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2239D6D" w14:textId="37EB6C6C" w:rsidR="007D02F9" w:rsidRPr="009D2781" w:rsidRDefault="00C278C8"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$5.86 million</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B5B0E2D" w14:textId="643FBFB1" w:rsidR="007D02F9" w:rsidRPr="009D2781" w:rsidRDefault="00C278C8" w:rsidP="00232094">
            <w:pPr>
              <w:pStyle w:val="FinancialTableGroupFooter"/>
              <w:keepNext/>
              <w:keepLines/>
              <w:spacing w:line="276" w:lineRule="auto"/>
              <w:jc w:val="right"/>
              <w:rPr>
                <w:rFonts w:ascii="Times New Roman" w:hAnsi="Times New Roman" w:cs="Times New Roman"/>
                <w:sz w:val="22"/>
                <w:szCs w:val="22"/>
              </w:rPr>
            </w:pPr>
            <w:r>
              <w:rPr>
                <w:rFonts w:ascii="Times New Roman" w:hAnsi="Times New Roman" w:cs="Times New Roman"/>
                <w:sz w:val="22"/>
                <w:szCs w:val="22"/>
              </w:rPr>
              <w:t>$7.86 million</w:t>
            </w:r>
          </w:p>
        </w:tc>
      </w:tr>
    </w:tbl>
    <w:p w14:paraId="6E9DFA45" w14:textId="77777777" w:rsidR="00AD12F4" w:rsidRPr="005544A0" w:rsidRDefault="00AD12F4" w:rsidP="00232094">
      <w:pPr>
        <w:spacing w:line="276" w:lineRule="auto"/>
      </w:pPr>
    </w:p>
    <w:sectPr w:rsidR="00AD12F4" w:rsidRPr="005544A0" w:rsidSect="004A6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A8"/>
    <w:rsid w:val="00094D34"/>
    <w:rsid w:val="001423A0"/>
    <w:rsid w:val="0015490F"/>
    <w:rsid w:val="001E13AA"/>
    <w:rsid w:val="00232094"/>
    <w:rsid w:val="00240B80"/>
    <w:rsid w:val="00245A8A"/>
    <w:rsid w:val="002472A6"/>
    <w:rsid w:val="002574F2"/>
    <w:rsid w:val="002C721F"/>
    <w:rsid w:val="002D1E84"/>
    <w:rsid w:val="002E169E"/>
    <w:rsid w:val="00310F94"/>
    <w:rsid w:val="00327178"/>
    <w:rsid w:val="00360BF6"/>
    <w:rsid w:val="00394ED2"/>
    <w:rsid w:val="004127DB"/>
    <w:rsid w:val="00426027"/>
    <w:rsid w:val="00457D4F"/>
    <w:rsid w:val="004A63B7"/>
    <w:rsid w:val="004D087D"/>
    <w:rsid w:val="0051225F"/>
    <w:rsid w:val="00522570"/>
    <w:rsid w:val="005544A0"/>
    <w:rsid w:val="00590EE5"/>
    <w:rsid w:val="006A2D63"/>
    <w:rsid w:val="006B629C"/>
    <w:rsid w:val="006D22A8"/>
    <w:rsid w:val="006E5975"/>
    <w:rsid w:val="00721A9A"/>
    <w:rsid w:val="007246AF"/>
    <w:rsid w:val="007335B0"/>
    <w:rsid w:val="00746591"/>
    <w:rsid w:val="00777256"/>
    <w:rsid w:val="007D02F9"/>
    <w:rsid w:val="00802993"/>
    <w:rsid w:val="00812A3F"/>
    <w:rsid w:val="008153A8"/>
    <w:rsid w:val="00832C51"/>
    <w:rsid w:val="008A62D7"/>
    <w:rsid w:val="008B5FCE"/>
    <w:rsid w:val="008E1437"/>
    <w:rsid w:val="008F2674"/>
    <w:rsid w:val="00934C20"/>
    <w:rsid w:val="009744D5"/>
    <w:rsid w:val="009D2781"/>
    <w:rsid w:val="00A07EDC"/>
    <w:rsid w:val="00A13F0D"/>
    <w:rsid w:val="00A65EB6"/>
    <w:rsid w:val="00AD12F4"/>
    <w:rsid w:val="00AD28FB"/>
    <w:rsid w:val="00AE25B1"/>
    <w:rsid w:val="00B74DF4"/>
    <w:rsid w:val="00C278C8"/>
    <w:rsid w:val="00C729A4"/>
    <w:rsid w:val="00CC2629"/>
    <w:rsid w:val="00CD7E7C"/>
    <w:rsid w:val="00D21CBB"/>
    <w:rsid w:val="00D31014"/>
    <w:rsid w:val="00D32A2E"/>
    <w:rsid w:val="00DC092B"/>
    <w:rsid w:val="00E84702"/>
    <w:rsid w:val="00EB370A"/>
    <w:rsid w:val="00ED0517"/>
    <w:rsid w:val="00EE4D76"/>
    <w:rsid w:val="00EF0D28"/>
    <w:rsid w:val="00F10275"/>
    <w:rsid w:val="00F47310"/>
    <w:rsid w:val="00FD3C29"/>
    <w:rsid w:val="00FD6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3EAD"/>
  <w15:chartTrackingRefBased/>
  <w15:docId w15:val="{105694EB-9CE7-4B68-A7AF-8B293157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C20"/>
  </w:style>
  <w:style w:type="paragraph" w:styleId="Heading1">
    <w:name w:val="heading 1"/>
    <w:basedOn w:val="Normal"/>
    <w:next w:val="Normal"/>
    <w:link w:val="Heading1Char"/>
    <w:uiPriority w:val="9"/>
    <w:qFormat/>
    <w:rsid w:val="00934C2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34C2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34C2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34C2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34C2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34C2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34C2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34C2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34C2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2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934C2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34C2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34C2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34C2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34C2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34C2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34C2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34C2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34C20"/>
    <w:pPr>
      <w:spacing w:line="240" w:lineRule="auto"/>
    </w:pPr>
    <w:rPr>
      <w:b/>
      <w:bCs/>
      <w:smallCaps/>
      <w:color w:val="595959" w:themeColor="text1" w:themeTint="A6"/>
    </w:rPr>
  </w:style>
  <w:style w:type="paragraph" w:styleId="Title">
    <w:name w:val="Title"/>
    <w:basedOn w:val="Normal"/>
    <w:next w:val="Normal"/>
    <w:link w:val="TitleChar"/>
    <w:uiPriority w:val="10"/>
    <w:qFormat/>
    <w:rsid w:val="00934C2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34C2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34C2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34C2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34C20"/>
    <w:rPr>
      <w:b/>
      <w:bCs/>
    </w:rPr>
  </w:style>
  <w:style w:type="character" w:styleId="Emphasis">
    <w:name w:val="Emphasis"/>
    <w:basedOn w:val="DefaultParagraphFont"/>
    <w:uiPriority w:val="20"/>
    <w:qFormat/>
    <w:rsid w:val="00934C20"/>
    <w:rPr>
      <w:i/>
      <w:iCs/>
    </w:rPr>
  </w:style>
  <w:style w:type="paragraph" w:styleId="NoSpacing">
    <w:name w:val="No Spacing"/>
    <w:uiPriority w:val="1"/>
    <w:qFormat/>
    <w:rsid w:val="00934C20"/>
    <w:pPr>
      <w:spacing w:after="0" w:line="240" w:lineRule="auto"/>
    </w:pPr>
  </w:style>
  <w:style w:type="paragraph" w:styleId="Quote">
    <w:name w:val="Quote"/>
    <w:basedOn w:val="Normal"/>
    <w:next w:val="Normal"/>
    <w:link w:val="QuoteChar"/>
    <w:uiPriority w:val="29"/>
    <w:qFormat/>
    <w:rsid w:val="00934C2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34C2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34C2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34C20"/>
    <w:rPr>
      <w:color w:val="404040" w:themeColor="text1" w:themeTint="BF"/>
      <w:sz w:val="32"/>
      <w:szCs w:val="32"/>
    </w:rPr>
  </w:style>
  <w:style w:type="character" w:styleId="SubtleEmphasis">
    <w:name w:val="Subtle Emphasis"/>
    <w:basedOn w:val="DefaultParagraphFont"/>
    <w:uiPriority w:val="19"/>
    <w:qFormat/>
    <w:rsid w:val="00934C20"/>
    <w:rPr>
      <w:i/>
      <w:iCs/>
      <w:color w:val="595959" w:themeColor="text1" w:themeTint="A6"/>
    </w:rPr>
  </w:style>
  <w:style w:type="character" w:styleId="IntenseEmphasis">
    <w:name w:val="Intense Emphasis"/>
    <w:basedOn w:val="DefaultParagraphFont"/>
    <w:uiPriority w:val="21"/>
    <w:qFormat/>
    <w:rsid w:val="00934C20"/>
    <w:rPr>
      <w:b/>
      <w:bCs/>
      <w:i/>
      <w:iCs/>
    </w:rPr>
  </w:style>
  <w:style w:type="character" w:styleId="SubtleReference">
    <w:name w:val="Subtle Reference"/>
    <w:basedOn w:val="DefaultParagraphFont"/>
    <w:uiPriority w:val="31"/>
    <w:qFormat/>
    <w:rsid w:val="00934C2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4C20"/>
    <w:rPr>
      <w:b/>
      <w:bCs/>
      <w:caps w:val="0"/>
      <w:smallCaps/>
      <w:color w:val="auto"/>
      <w:spacing w:val="3"/>
      <w:u w:val="single"/>
    </w:rPr>
  </w:style>
  <w:style w:type="character" w:styleId="BookTitle">
    <w:name w:val="Book Title"/>
    <w:basedOn w:val="DefaultParagraphFont"/>
    <w:uiPriority w:val="33"/>
    <w:qFormat/>
    <w:rsid w:val="00934C20"/>
    <w:rPr>
      <w:b/>
      <w:bCs/>
      <w:smallCaps/>
      <w:spacing w:val="7"/>
    </w:rPr>
  </w:style>
  <w:style w:type="paragraph" w:styleId="TOCHeading">
    <w:name w:val="TOC Heading"/>
    <w:basedOn w:val="Heading1"/>
    <w:next w:val="Normal"/>
    <w:uiPriority w:val="39"/>
    <w:semiHidden/>
    <w:unhideWhenUsed/>
    <w:qFormat/>
    <w:rsid w:val="00934C20"/>
    <w:pPr>
      <w:outlineLvl w:val="9"/>
    </w:pPr>
  </w:style>
  <w:style w:type="paragraph" w:customStyle="1" w:styleId="FinancialTableSpacer">
    <w:name w:val="FinancialTable_Spacer"/>
    <w:rsid w:val="00CC2629"/>
    <w:pPr>
      <w:spacing w:after="0" w:line="240" w:lineRule="auto"/>
    </w:pPr>
    <w:rPr>
      <w:rFonts w:ascii="Times New Roman" w:eastAsia="Times New Roman" w:hAnsi="Times New Roman" w:cs="Times New Roman"/>
      <w:sz w:val="20"/>
      <w:szCs w:val="20"/>
      <w:lang w:val="en-US"/>
    </w:rPr>
  </w:style>
  <w:style w:type="paragraph" w:customStyle="1" w:styleId="FinancialTableHeader">
    <w:name w:val="FinancialTable_Header"/>
    <w:rsid w:val="00CC2629"/>
    <w:pPr>
      <w:spacing w:beforeAutospacing="1" w:after="0" w:afterAutospacing="1" w:line="200" w:lineRule="atLeast"/>
    </w:pPr>
    <w:rPr>
      <w:rFonts w:ascii="Trebuchet MS" w:eastAsia="Trebuchet MS" w:hAnsi="Trebuchet MS" w:cs="Trebuchet MS"/>
      <w:b/>
      <w:color w:val="000000"/>
      <w:sz w:val="20"/>
      <w:szCs w:val="20"/>
      <w:lang w:val="en-US"/>
    </w:rPr>
  </w:style>
  <w:style w:type="paragraph" w:customStyle="1" w:styleId="FinancialTableGroupItem">
    <w:name w:val="FinancialTable_GroupItem"/>
    <w:rsid w:val="00CC2629"/>
    <w:pPr>
      <w:spacing w:beforeAutospacing="1" w:after="0" w:afterAutospacing="1" w:line="180" w:lineRule="atLeast"/>
    </w:pPr>
    <w:rPr>
      <w:rFonts w:ascii="Trebuchet MS" w:eastAsia="Trebuchet MS" w:hAnsi="Trebuchet MS" w:cs="Trebuchet MS"/>
      <w:color w:val="000000"/>
      <w:sz w:val="18"/>
      <w:szCs w:val="20"/>
      <w:lang w:val="en-US"/>
    </w:rPr>
  </w:style>
  <w:style w:type="paragraph" w:customStyle="1" w:styleId="FinancialTableGroupHeader">
    <w:name w:val="FinancialTable_GroupHeader"/>
    <w:rsid w:val="00CC2629"/>
    <w:pPr>
      <w:spacing w:beforeAutospacing="1" w:after="0" w:afterAutospacing="1" w:line="200" w:lineRule="atLeast"/>
    </w:pPr>
    <w:rPr>
      <w:rFonts w:ascii="Trebuchet MS" w:eastAsia="Trebuchet MS" w:hAnsi="Trebuchet MS" w:cs="Trebuchet MS"/>
      <w:b/>
      <w:color w:val="000000"/>
      <w:sz w:val="20"/>
      <w:szCs w:val="20"/>
      <w:lang w:val="en-US"/>
    </w:rPr>
  </w:style>
  <w:style w:type="paragraph" w:customStyle="1" w:styleId="FinancialTableGroupFooter">
    <w:name w:val="FinancialTable_GroupFooter"/>
    <w:rsid w:val="00CC2629"/>
    <w:pPr>
      <w:spacing w:beforeAutospacing="1" w:after="0" w:afterAutospacing="1" w:line="200" w:lineRule="atLeast"/>
    </w:pPr>
    <w:rPr>
      <w:rFonts w:ascii="Trebuchet MS" w:eastAsia="Trebuchet MS" w:hAnsi="Trebuchet MS" w:cs="Trebuchet MS"/>
      <w:b/>
      <w:color w:val="000000"/>
      <w:sz w:val="20"/>
      <w:szCs w:val="20"/>
      <w:lang w:val="en-US"/>
    </w:rPr>
  </w:style>
  <w:style w:type="paragraph" w:customStyle="1" w:styleId="FinancialTableItem">
    <w:name w:val="FinancialTable_Item"/>
    <w:rsid w:val="00CC2629"/>
    <w:pPr>
      <w:spacing w:beforeAutospacing="1" w:after="0" w:afterAutospacing="1" w:line="180" w:lineRule="atLeast"/>
    </w:pPr>
    <w:rPr>
      <w:rFonts w:ascii="Trebuchet MS" w:eastAsia="Trebuchet MS" w:hAnsi="Trebuchet MS" w:cs="Trebuchet MS"/>
      <w:color w:val="00000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45079342146451"/>
          <c:y val="8.2956259426847659E-2"/>
          <c:w val="0.87233688678823407"/>
          <c:h val="0.37851510077077472"/>
        </c:manualLayout>
      </c:layout>
      <c:barChart>
        <c:barDir val="col"/>
        <c:grouping val="clustered"/>
        <c:varyColors val="0"/>
        <c:ser>
          <c:idx val="0"/>
          <c:order val="0"/>
          <c:tx>
            <c:strRef>
              <c:f>Sheet1!$B$1</c:f>
              <c:strCache>
                <c:ptCount val="1"/>
                <c:pt idx="0">
                  <c:v>Months in Year 1</c:v>
                </c:pt>
              </c:strCache>
            </c:strRef>
          </c:tx>
          <c:spPr>
            <a:solidFill>
              <a:schemeClr val="accent1"/>
            </a:solidFill>
            <a:ln>
              <a:noFill/>
            </a:ln>
            <a:effectLst/>
          </c:spPr>
          <c:invertIfNegative val="0"/>
          <c:cat>
            <c:strRef>
              <c:f>Sheet1!$A$2:$A$13</c:f>
              <c:strCache>
                <c:ptCount val="12"/>
                <c:pt idx="0">
                  <c:v>May</c:v>
                </c:pt>
                <c:pt idx="1">
                  <c:v>June</c:v>
                </c:pt>
                <c:pt idx="2">
                  <c:v>July</c:v>
                </c:pt>
                <c:pt idx="3">
                  <c:v>August</c:v>
                </c:pt>
                <c:pt idx="4">
                  <c:v>September</c:v>
                </c:pt>
                <c:pt idx="5">
                  <c:v>October</c:v>
                </c:pt>
                <c:pt idx="6">
                  <c:v>November</c:v>
                </c:pt>
                <c:pt idx="7">
                  <c:v>December</c:v>
                </c:pt>
                <c:pt idx="8">
                  <c:v>January</c:v>
                </c:pt>
                <c:pt idx="9">
                  <c:v>February</c:v>
                </c:pt>
                <c:pt idx="10">
                  <c:v>March</c:v>
                </c:pt>
                <c:pt idx="11">
                  <c:v>April</c:v>
                </c:pt>
              </c:strCache>
            </c:strRef>
          </c:cat>
          <c:val>
            <c:numRef>
              <c:f>Sheet1!$B$2:$B$13</c:f>
              <c:numCache>
                <c:formatCode>General</c:formatCode>
                <c:ptCount val="12"/>
                <c:pt idx="0">
                  <c:v>0.36</c:v>
                </c:pt>
                <c:pt idx="1">
                  <c:v>0.5</c:v>
                </c:pt>
                <c:pt idx="2">
                  <c:v>0.45</c:v>
                </c:pt>
                <c:pt idx="3">
                  <c:v>0.4</c:v>
                </c:pt>
                <c:pt idx="4">
                  <c:v>0.2</c:v>
                </c:pt>
                <c:pt idx="5">
                  <c:v>0.3</c:v>
                </c:pt>
                <c:pt idx="6">
                  <c:v>0.25</c:v>
                </c:pt>
                <c:pt idx="7">
                  <c:v>0.38</c:v>
                </c:pt>
                <c:pt idx="8">
                  <c:v>0.4</c:v>
                </c:pt>
                <c:pt idx="9">
                  <c:v>0.34</c:v>
                </c:pt>
                <c:pt idx="10">
                  <c:v>0.36</c:v>
                </c:pt>
                <c:pt idx="11">
                  <c:v>0.32</c:v>
                </c:pt>
              </c:numCache>
            </c:numRef>
          </c:val>
          <c:extLst>
            <c:ext xmlns:c16="http://schemas.microsoft.com/office/drawing/2014/chart" uri="{C3380CC4-5D6E-409C-BE32-E72D297353CC}">
              <c16:uniqueId val="{00000000-5833-4A98-981E-6D7FF0AB6ECE}"/>
            </c:ext>
          </c:extLst>
        </c:ser>
        <c:dLbls>
          <c:showLegendKey val="0"/>
          <c:showVal val="0"/>
          <c:showCatName val="0"/>
          <c:showSerName val="0"/>
          <c:showPercent val="0"/>
          <c:showBubbleSize val="0"/>
        </c:dLbls>
        <c:gapWidth val="219"/>
        <c:overlap val="-27"/>
        <c:axId val="560299152"/>
        <c:axId val="560299480"/>
      </c:barChart>
      <c:catAx>
        <c:axId val="56029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99480"/>
        <c:crosses val="autoZero"/>
        <c:auto val="1"/>
        <c:lblAlgn val="ctr"/>
        <c:lblOffset val="100"/>
        <c:noMultiLvlLbl val="0"/>
      </c:catAx>
      <c:valAx>
        <c:axId val="560299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 Million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9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Months in Year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Expenses</c:v>
                </c:pt>
              </c:strCache>
            </c:strRef>
          </c:tx>
          <c:spPr>
            <a:solidFill>
              <a:schemeClr val="accent1"/>
            </a:solidFill>
            <a:ln>
              <a:noFill/>
            </a:ln>
            <a:effectLst/>
          </c:spPr>
          <c:invertIfNegative val="0"/>
          <c:cat>
            <c:strRef>
              <c:f>Sheet1!$A$2:$A$14</c:f>
              <c:strCache>
                <c:ptCount val="12"/>
                <c:pt idx="0">
                  <c:v>May</c:v>
                </c:pt>
                <c:pt idx="1">
                  <c:v>June</c:v>
                </c:pt>
                <c:pt idx="2">
                  <c:v>July</c:v>
                </c:pt>
                <c:pt idx="3">
                  <c:v>August</c:v>
                </c:pt>
                <c:pt idx="4">
                  <c:v>September</c:v>
                </c:pt>
                <c:pt idx="5">
                  <c:v>October</c:v>
                </c:pt>
                <c:pt idx="6">
                  <c:v>November</c:v>
                </c:pt>
                <c:pt idx="7">
                  <c:v>December</c:v>
                </c:pt>
                <c:pt idx="8">
                  <c:v>January</c:v>
                </c:pt>
                <c:pt idx="9">
                  <c:v>February</c:v>
                </c:pt>
                <c:pt idx="10">
                  <c:v>March</c:v>
                </c:pt>
                <c:pt idx="11">
                  <c:v>April</c:v>
                </c:pt>
              </c:strCache>
            </c:strRef>
          </c:cat>
          <c:val>
            <c:numRef>
              <c:f>Sheet1!$B$2:$B$14</c:f>
              <c:numCache>
                <c:formatCode>General</c:formatCode>
                <c:ptCount val="13"/>
                <c:pt idx="0">
                  <c:v>0.16</c:v>
                </c:pt>
                <c:pt idx="1">
                  <c:v>0.16</c:v>
                </c:pt>
                <c:pt idx="2">
                  <c:v>0.14000000000000001</c:v>
                </c:pt>
                <c:pt idx="3">
                  <c:v>0.1</c:v>
                </c:pt>
                <c:pt idx="4">
                  <c:v>0.14000000000000001</c:v>
                </c:pt>
                <c:pt idx="5">
                  <c:v>0.18</c:v>
                </c:pt>
                <c:pt idx="6">
                  <c:v>0.16</c:v>
                </c:pt>
                <c:pt idx="7">
                  <c:v>0.13</c:v>
                </c:pt>
                <c:pt idx="8">
                  <c:v>0.15</c:v>
                </c:pt>
                <c:pt idx="9">
                  <c:v>0.12</c:v>
                </c:pt>
                <c:pt idx="10">
                  <c:v>0.16</c:v>
                </c:pt>
                <c:pt idx="11">
                  <c:v>0.13</c:v>
                </c:pt>
              </c:numCache>
            </c:numRef>
          </c:val>
          <c:extLst>
            <c:ext xmlns:c16="http://schemas.microsoft.com/office/drawing/2014/chart" uri="{C3380CC4-5D6E-409C-BE32-E72D297353CC}">
              <c16:uniqueId val="{00000000-88D0-48A2-BD4D-53C56D0B119B}"/>
            </c:ext>
          </c:extLst>
        </c:ser>
        <c:ser>
          <c:idx val="1"/>
          <c:order val="1"/>
          <c:tx>
            <c:strRef>
              <c:f>Sheet1!$C$1</c:f>
              <c:strCache>
                <c:ptCount val="1"/>
                <c:pt idx="0">
                  <c:v>Direct Cost</c:v>
                </c:pt>
              </c:strCache>
            </c:strRef>
          </c:tx>
          <c:spPr>
            <a:solidFill>
              <a:schemeClr val="accent2"/>
            </a:solidFill>
            <a:ln>
              <a:noFill/>
            </a:ln>
            <a:effectLst/>
          </c:spPr>
          <c:invertIfNegative val="0"/>
          <c:cat>
            <c:strRef>
              <c:f>Sheet1!$A$2:$A$14</c:f>
              <c:strCache>
                <c:ptCount val="12"/>
                <c:pt idx="0">
                  <c:v>May</c:v>
                </c:pt>
                <c:pt idx="1">
                  <c:v>June</c:v>
                </c:pt>
                <c:pt idx="2">
                  <c:v>July</c:v>
                </c:pt>
                <c:pt idx="3">
                  <c:v>August</c:v>
                </c:pt>
                <c:pt idx="4">
                  <c:v>September</c:v>
                </c:pt>
                <c:pt idx="5">
                  <c:v>October</c:v>
                </c:pt>
                <c:pt idx="6">
                  <c:v>November</c:v>
                </c:pt>
                <c:pt idx="7">
                  <c:v>December</c:v>
                </c:pt>
                <c:pt idx="8">
                  <c:v>January</c:v>
                </c:pt>
                <c:pt idx="9">
                  <c:v>February</c:v>
                </c:pt>
                <c:pt idx="10">
                  <c:v>March</c:v>
                </c:pt>
                <c:pt idx="11">
                  <c:v>April</c:v>
                </c:pt>
              </c:strCache>
            </c:strRef>
          </c:cat>
          <c:val>
            <c:numRef>
              <c:f>Sheet1!$C$2:$C$14</c:f>
              <c:numCache>
                <c:formatCode>General</c:formatCode>
                <c:ptCount val="13"/>
                <c:pt idx="0">
                  <c:v>0.6</c:v>
                </c:pt>
                <c:pt idx="1">
                  <c:v>0.05</c:v>
                </c:pt>
                <c:pt idx="2">
                  <c:v>0.05</c:v>
                </c:pt>
                <c:pt idx="3">
                  <c:v>0.05</c:v>
                </c:pt>
                <c:pt idx="4">
                  <c:v>0.05</c:v>
                </c:pt>
                <c:pt idx="5">
                  <c:v>0.05</c:v>
                </c:pt>
                <c:pt idx="6">
                  <c:v>0.05</c:v>
                </c:pt>
                <c:pt idx="7">
                  <c:v>0.05</c:v>
                </c:pt>
                <c:pt idx="8">
                  <c:v>0.05</c:v>
                </c:pt>
                <c:pt idx="9">
                  <c:v>0.05</c:v>
                </c:pt>
                <c:pt idx="10">
                  <c:v>0.05</c:v>
                </c:pt>
                <c:pt idx="11">
                  <c:v>0.05</c:v>
                </c:pt>
              </c:numCache>
            </c:numRef>
          </c:val>
          <c:extLst>
            <c:ext xmlns:c16="http://schemas.microsoft.com/office/drawing/2014/chart" uri="{C3380CC4-5D6E-409C-BE32-E72D297353CC}">
              <c16:uniqueId val="{00000001-88D0-48A2-BD4D-53C56D0B119B}"/>
            </c:ext>
          </c:extLst>
        </c:ser>
        <c:dLbls>
          <c:showLegendKey val="0"/>
          <c:showVal val="0"/>
          <c:showCatName val="0"/>
          <c:showSerName val="0"/>
          <c:showPercent val="0"/>
          <c:showBubbleSize val="0"/>
        </c:dLbls>
        <c:gapWidth val="219"/>
        <c:overlap val="100"/>
        <c:axId val="590206512"/>
        <c:axId val="590207496"/>
      </c:barChart>
      <c:catAx>
        <c:axId val="59020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07496"/>
        <c:crosses val="autoZero"/>
        <c:auto val="1"/>
        <c:lblAlgn val="ctr"/>
        <c:lblOffset val="100"/>
        <c:noMultiLvlLbl val="0"/>
      </c:catAx>
      <c:valAx>
        <c:axId val="59020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 Million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0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Net Profit/loss</c:v>
                </c:pt>
              </c:strCache>
            </c:strRef>
          </c:tx>
          <c:spPr>
            <a:solidFill>
              <a:schemeClr val="accent1"/>
            </a:solidFill>
            <a:ln>
              <a:noFill/>
            </a:ln>
            <a:effectLst/>
          </c:spPr>
          <c:invertIfNegative val="0"/>
          <c:cat>
            <c:strRef>
              <c:f>Sheet1!$A$2:$A$4</c:f>
              <c:strCache>
                <c:ptCount val="3"/>
                <c:pt idx="0">
                  <c:v>FY2018</c:v>
                </c:pt>
                <c:pt idx="1">
                  <c:v>FY2019</c:v>
                </c:pt>
                <c:pt idx="2">
                  <c:v>FY2020</c:v>
                </c:pt>
              </c:strCache>
            </c:strRef>
          </c:cat>
          <c:val>
            <c:numRef>
              <c:f>Sheet1!$B$2:$B$4</c:f>
              <c:numCache>
                <c:formatCode>General</c:formatCode>
                <c:ptCount val="3"/>
                <c:pt idx="0">
                  <c:v>1.38</c:v>
                </c:pt>
                <c:pt idx="1">
                  <c:v>1.7</c:v>
                </c:pt>
                <c:pt idx="2">
                  <c:v>2</c:v>
                </c:pt>
              </c:numCache>
            </c:numRef>
          </c:val>
          <c:extLst>
            <c:ext xmlns:c16="http://schemas.microsoft.com/office/drawing/2014/chart" uri="{C3380CC4-5D6E-409C-BE32-E72D297353CC}">
              <c16:uniqueId val="{00000000-BD65-483C-AB16-33075DC0683C}"/>
            </c:ext>
          </c:extLst>
        </c:ser>
        <c:dLbls>
          <c:showLegendKey val="0"/>
          <c:showVal val="0"/>
          <c:showCatName val="0"/>
          <c:showSerName val="0"/>
          <c:showPercent val="0"/>
          <c:showBubbleSize val="0"/>
        </c:dLbls>
        <c:gapWidth val="219"/>
        <c:overlap val="-27"/>
        <c:axId val="598977144"/>
        <c:axId val="598979768"/>
      </c:barChart>
      <c:catAx>
        <c:axId val="59897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979768"/>
        <c:crosses val="autoZero"/>
        <c:auto val="1"/>
        <c:lblAlgn val="ctr"/>
        <c:lblOffset val="100"/>
        <c:noMultiLvlLbl val="0"/>
      </c:catAx>
      <c:valAx>
        <c:axId val="598979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977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kandoi</dc:creator>
  <cp:keywords/>
  <dc:description/>
  <cp:lastModifiedBy>Rishabh kandoi</cp:lastModifiedBy>
  <cp:revision>45</cp:revision>
  <dcterms:created xsi:type="dcterms:W3CDTF">2018-04-15T05:14:00Z</dcterms:created>
  <dcterms:modified xsi:type="dcterms:W3CDTF">2018-04-15T15:05:00Z</dcterms:modified>
</cp:coreProperties>
</file>