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Topic Proposal — Digital Economics Term Paper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Course: Digital Economics (Semester 8)   |   Group: [Group Number]   |   Date: April 2026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120" w:before="200"/>
      </w:pPr>
      <w:r>
        <w:t xml:space="preserve">1. Topic Title</w:t>
      </w:r>
    </w:p>
    <w:p>
      <w:pPr>
        <w:spacing w:after="120"/>
      </w:pPr>
      <w:r>
        <w:rPr>
          <w:b/>
          <w:bCs/>
        </w:rPr>
        <w:t xml:space="preserve">A Data-Driven Decision Framework for Retired EV Battery Routing: Aligning Machine Learning with India’s Battery Waste Management Rules and the EU Digital Battery Passport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 &amp; Battery Supply Chains | Digital Product Passport / Traceability | Policy Analysis (India vs. EU)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End-of-life routing decisions for retired EV batteries in India are made without data-driven support, creating compliance risk under BWMR (2022/2024/2025) and the EU Digital Product Passport mandate (Feb 2027), while wasting residual battery value.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 learning (XGBoost + LSTM + SHAP) for battery health grading, combined with a multi-criteria decision-making method (Fuzzy BWM-TOPSIS) for route ranking, plus a Digital Passport schema mapping layer.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reproducible, regulator-aligned decision-support framework and reference Digital Passport schema for Indian battery producers and recyclers.</w:t>
            </w:r>
          </w:p>
        </w:tc>
      </w:tr>
    </w:tbl>
    <w:p>
      <w:pPr>
        <w:pStyle w:val="Heading1"/>
        <w:spacing w:after="120" w:before="200"/>
      </w:pPr>
      <w:r>
        <w:t xml:space="preserve">2. Problem Statement</w:t>
      </w:r>
    </w:p>
    <w:p>
      <w:pPr>
        <w:spacing w:after="120"/>
      </w:pPr>
      <w:r>
        <w:t xml:space="preserve">India has entered its first wave of EV battery retirements. Most retired batteries still retain 60–80% of their original capacity — unsuitable for vehicles but perfectly usable for stationary storage (home, grid, telecom). Yet the industry default is immediate recycling, which wastes residual value and fails to meet new regulatory targets.</w:t>
      </w:r>
    </w:p>
    <w:p>
      <w:pPr>
        <w:spacing w:after="120"/>
      </w:pPr>
      <w:r>
        <w:t xml:space="preserve">Two regulations converge in 2027: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India’s BWMR </w:t>
      </w:r>
      <w:r>
        <w:t xml:space="preserve">(2022/2024/2025) requires battery producers to meet recovery targets scaling to 90% by FY 2026–27, and recycled-content targets rising to 20% by 2030–31.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EU Battery Regulation 2023/1542 </w:t>
      </w:r>
      <w:r>
        <w:t xml:space="preserve">mandates a Digital Product Passport (Annex XIII) for every EV battery above 2 kWh placed on the EU market from February 2027 — affecting every Indian battery exporter.</w:t>
      </w:r>
    </w:p>
    <w:p>
      <w:pPr>
        <w:spacing w:after="120"/>
      </w:pPr>
      <w:r>
        <w:t xml:space="preserve">There is currently no framework that combines data-driven battery health prediction with structured end-of-life route selection, while producing compliance-ready digital records for both Indian and EU regulations in a single pipeline.</w:t>
      </w:r>
    </w:p>
    <w:p>
      <w:pPr>
        <w:pStyle w:val="Heading1"/>
        <w:spacing w:after="120" w:before="200"/>
      </w:pPr>
      <w:r>
        <w:t xml:space="preserve">3. Research Gap and Contribution</w:t>
      </w:r>
    </w:p>
    <w:p>
      <w:pPr>
        <w:spacing w:after="120"/>
      </w:pPr>
      <w:r>
        <w:t xml:space="preserve">Hybrid machine learning for battery health prediction is well-studied. Multi-criteria decision methods for battery end-of-life are also well-studied. What remains unaddressed in the literature is the integration of these two layers with Indian regulatory parameters, and the generation of dual-compliance (BWMR + EU Annex XIII) Digital Passport records in one reproducible framework.</w:t>
      </w:r>
    </w:p>
    <w:p>
      <w:pPr>
        <w:spacing w:after="120"/>
      </w:pPr>
      <w:r>
        <w:rPr>
          <w:b/>
          <w:bCs/>
        </w:rPr>
        <w:t xml:space="preserve">Our contribution: </w:t>
      </w:r>
      <w:r>
        <w:t xml:space="preserve">An integrated, India-specific decision-support framework that (i) grades batteries using established ML, (ii) ranks end-of-life routes using regulatory-priority-weighted MCDM, and (iii) emits a Digital Passport record mapped to both Indian and EU regulatory fields.</w:t>
      </w:r>
    </w:p>
    <w:p>
      <w:pPr>
        <w:pStyle w:val="Heading1"/>
        <w:spacing w:after="120" w:before="200"/>
      </w:pPr>
      <w:r>
        <w:t xml:space="preserve">4. Research Questions</w:t>
      </w:r>
    </w:p>
    <w:p>
      <w:pPr>
        <w:spacing w:after="120"/>
      </w:pPr>
      <w:r>
        <w:rPr>
          <w:b/>
          <w:bCs/>
        </w:rPr>
        <w:t xml:space="preserve">RQ1: </w:t>
      </w:r>
      <w:r>
        <w:t xml:space="preserve">How accurately can a hybrid machine learning pipeline (XGBoost for State-of-Health, LSTM for Remaining Useful Life, with SHAP-based feature interpretation) predict battery health across diverse chemistries, operating temperatures, and cycling protocols?</w:t>
      </w:r>
    </w:p>
    <w:p>
      <w:pPr>
        <w:spacing w:after="120"/>
      </w:pPr>
      <w:r>
        <w:rPr>
          <w:b/>
          <w:bCs/>
        </w:rPr>
        <w:t xml:space="preserve">RQ2: </w:t>
      </w:r>
      <w:r>
        <w:t xml:space="preserve">How do recommended end-of-life routes change when MCDM weights reflect Indian regulatory priorities (BWMR recovery targets, safety, carbon footprint, EPR economics) versus EU priorities — and which criteria are the most sensitive drivers of divergence?</w:t>
      </w:r>
    </w:p>
    <w:p>
      <w:pPr>
        <w:pStyle w:val="Heading1"/>
        <w:spacing w:after="120" w:before="200"/>
      </w:pPr>
      <w:r>
        <w:t xml:space="preserve">5. Data</w:t>
      </w:r>
    </w:p>
    <w:p>
      <w:pPr>
        <w:spacing w:after="120"/>
      </w:pPr>
      <w:r>
        <w:t xml:space="preserve">We use four publicly available battery cycling datasets as the primary backbone: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26"/>
        <w:gridCol w:w="25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&amp; Scale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BatteryLife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HuggingFace (990 batteries, 16 integrated subsets, multiple chemistries)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training &amp; benchmarking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Stanford Second-Life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Included in BatteryLife (Nissan Leaf retired cells)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Second-life validation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NASA PCoE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NASA Prognostics Center (18650 cells)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Benchmark comparability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CALCE</w:t>
            </w:r>
          </w:p>
        </w:tc>
        <w:tc>
          <w:tcPr>
            <w:tcW w:type="dxa" w:w="4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University of Maryland (multiple chemistries)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Benchmark comparability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Regulatory corpus: </w:t>
      </w:r>
      <w:r>
        <w:t xml:space="preserve">India BWMR 2022/2024/2025 gazettes, EU Regulation 2023/1542 (Annex XIII fields), Global Battery Alliance Passport data model.</w:t>
      </w:r>
    </w:p>
    <w:p>
      <w:pPr>
        <w:spacing w:after="120"/>
      </w:pPr>
      <w:r>
        <w:rPr>
          <w:b/>
          <w:bCs/>
        </w:rPr>
        <w:t xml:space="preserve">Limitation: </w:t>
      </w:r>
      <w:r>
        <w:t xml:space="preserve">All public datasets are US/lab-tested. Indian-context validation via primary cycling data (from potential IIT or industry partners) will be attempted but is not a project dependency.</w:t>
      </w:r>
    </w:p>
    <w:p>
      <w:pPr>
        <w:spacing w:after="120"/>
      </w:pPr>
      <w:r>
        <w:rPr>
          <w:b/>
          <w:bCs/>
        </w:rPr>
        <w:t xml:space="preserve">MCDM criteria weights: </w:t>
      </w:r>
      <w:r>
        <w:t xml:space="preserve">Derived from a review of 8–10 peer-reviewed papers and validated via expert elicitation, with sensitivity analysis across 5 weighting scenarios.</w:t>
      </w:r>
    </w:p>
    <w:p>
      <w:pPr>
        <w:pStyle w:val="Heading1"/>
        <w:spacing w:after="120" w:before="200"/>
      </w:pPr>
      <w:r>
        <w:t xml:space="preserve">6. Methodology</w:t>
      </w:r>
    </w:p>
    <w:p>
      <w:pPr>
        <w:spacing w:after="120"/>
      </w:pPr>
      <w:r>
        <w:t xml:space="preserve">The framework follows a six-stage pipeline, combining two methodological approaches as required by the project guidelines (Machine Learning + Hybrid MCDM):</w:t>
      </w:r>
    </w:p>
    <w:p>
      <w:pPr>
        <w:spacing w:after="80" w:before="80"/>
        <w:jc w:val="center"/>
      </w:pPr>
      <w:r>
        <w:rPr>
          <w:i/>
          <w:iCs/>
          <w:sz w:val="20"/>
          <w:szCs w:val="20"/>
        </w:rPr>
        <w:t xml:space="preserve">Raw cycling data  →  Anomaly filter (VAE)  →  Feature engineering  →  SoH prediction (XGBoost) + RUL prediction (LSTM)  →  Explainability (SHAP)  →  Grade A/B/C/D  →  Route ranking (Fuzzy BWM-TOPSIS)  →  Dual-compliance Digital Passport output</w:t>
      </w:r>
    </w:p>
    <w:p>
      <w:pPr>
        <w:pStyle w:val="Heading2"/>
        <w:spacing w:after="100" w:before="160"/>
      </w:pPr>
      <w:r>
        <w:t xml:space="preserve">Baselines for comparison</w:t>
      </w:r>
    </w:p>
    <w:p>
      <w:pPr>
        <w:spacing w:after="120"/>
      </w:pPr>
      <w:r>
        <w:t xml:space="preserve">For publishable rigour, the framework is compared against: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XGBoost-only State-of-Health prediction (no LSTM, no VAE)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LSTM-only Remaining Useful Life prediction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capacity-fade linear regression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Equal-weight MCDM (no Fuzzy BWM)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Industry’s fixed 80% State-of-Health threshold rule</w:t>
      </w:r>
    </w:p>
    <w:p>
      <w:pPr>
        <w:pStyle w:val="Heading1"/>
        <w:spacing w:after="120" w:before="200"/>
      </w:pPr>
      <w:r>
        <w:t xml:space="preserve">7. 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reproducible ML pipeline </w:t>
      </w:r>
      <w:r>
        <w:t xml:space="preserve">with publicly released code and benchmark results across chemistries and operating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Health-grade-based route rankings </w:t>
      </w:r>
      <w:r>
        <w:t xml:space="preserve">under both Indian (BWMR-weighted) and EU (Annex-XIII-weighted) criteria, with sensitivity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reference Digital Passport schema </w:t>
      </w:r>
      <w:r>
        <w:t xml:space="preserve">(JSON) mapping framework outputs to BWMR traceability fields and EU Annex XIII fields, with a gap analysis of fields currently unpopulable in Indian practice.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Policy-actionable insights </w:t>
      </w:r>
      <w:r>
        <w:t xml:space="preserve">for CPCB on State-of-Health thresholds and recovery targets, and for OEMs on pre-retirement data-collection requirements.</w:t>
      </w:r>
    </w:p>
    <w:p>
      <w:pPr>
        <w:pStyle w:val="Heading1"/>
        <w:spacing w:after="120" w:before="200"/>
      </w:pPr>
      <w:r>
        <w:t xml:space="preserve">8. Fit with Digital Economics</w:t>
      </w:r>
    </w:p>
    <w:p>
      <w:pPr>
        <w:spacing w:after="120"/>
      </w:pPr>
      <w:r>
        <w:t xml:space="preserve">This project sits squarely within digital economics: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Digitalization of a physical supply chain </w:t>
      </w:r>
      <w:r>
        <w:t xml:space="preserve">— transforming ad-hoc, gut-feel battery routing into a data-driven digital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Digital Product Passports as market infrastructure </w:t>
      </w:r>
      <w:r>
        <w:t xml:space="preserve">— the DPP is the digital backbone of a new circular-economy market; we generate the data layer that feeds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AI-enabled decision-making </w:t>
      </w:r>
      <w:r>
        <w:t xml:space="preserve">— reducing information asymmetry in the second-life battery market, a classic market-design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Platform potential </w:t>
      </w:r>
      <w:r>
        <w:t xml:space="preserve">— the framework is usable by producers, recyclers, and second-life operators, with characteristic digital-platform network effects.</w:t>
      </w:r>
    </w:p>
    <w:p>
      <w:pPr>
        <w:pStyle w:val="Heading1"/>
        <w:spacing w:after="120" w:before="200"/>
      </w:pPr>
      <w:r>
        <w:t xml:space="preserve">9. Publication Plan</w:t>
      </w:r>
    </w:p>
    <w:p>
      <w:pPr>
        <w:spacing w:after="120"/>
      </w:pPr>
      <w:r>
        <w:rPr>
          <w:b/>
          <w:bCs/>
        </w:rPr>
        <w:t xml:space="preserve">Primary target: </w:t>
      </w:r>
      <w:r>
        <w:t xml:space="preserve">Batteries (MDPI, IF ~4.0) or World Electric Vehicle Journal (MDPI) — both offer tight methodological and scope fit.</w:t>
      </w:r>
    </w:p>
    <w:p>
      <w:pPr>
        <w:spacing w:after="120"/>
      </w:pPr>
      <w:r>
        <w:rPr>
          <w:b/>
          <w:bCs/>
        </w:rPr>
        <w:t xml:space="preserve">Fallback: </w:t>
      </w:r>
      <w:r>
        <w:t xml:space="preserve">Sustainability (MDPI, IF ~3.3, Q2, ~35–45% acceptance, ~18 days to first decision).</w:t>
      </w:r>
    </w:p>
    <w:p>
      <w:pPr>
        <w:spacing w:after="120"/>
      </w:pPr>
      <w:r>
        <w:rPr>
          <w:b/>
          <w:bCs/>
        </w:rPr>
        <w:t xml:space="preserve">Stretch: </w:t>
      </w:r>
      <w:r>
        <w:t xml:space="preserve">Resources, Conservation and Recycling (Elsevier, IF ~11.2) — attempted only if framework performance and novelty exceed review expectations.</w:t>
      </w:r>
    </w:p>
    <w:p>
      <w:pPr>
        <w:pStyle w:val="Heading1"/>
        <w:spacing w:after="120" w:before="200"/>
      </w:pPr>
      <w:r>
        <w:t xml:space="preserve">10. Timeline and Team Allocation</w:t>
      </w:r>
    </w:p>
    <w:p>
      <w:pPr>
        <w:spacing w:after="120"/>
      </w:pPr>
      <w:r>
        <w:t xml:space="preserve">The project is scoped for a 1-month timeline with 10 group members, split into three sub-teams: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Sub-team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Members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 Pipeline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VAE, XGBoost, LSTM, SHAP, baselines, benchmarking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MCDM &amp; Regulatory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Fuzzy BWM-TOPSIS, expert elicitation, BWMR/Annex XIII corpus, sensitivity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DPP Schema &amp; Writeup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schema design, gap analysis, paper drafting, figures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Weekly WIP will be maintained in the shared Excel sheet as required by the project guidelines.</w:t>
      </w:r>
    </w:p>
    <w:p>
      <w:pPr>
        <w:pBdr>
          <w:top w:val="single" w:color="2E75B6" w:sz="6" w:space="1"/>
        </w:pBdr>
        <w:spacing w:after="100" w:before="200"/>
      </w:pP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Submitted for approval by: [Group Members’ Names]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2026-04-24T09:32:44.215Z</dcterms:created>
  <dcterms:modified xsi:type="dcterms:W3CDTF">2026-04-24T09:32:44.216Z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