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07D80" w14:textId="77777777" w:rsidR="00AF5863" w:rsidRDefault="00000000">
      <w:pPr>
        <w:pBdr>
          <w:top w:val="nil"/>
          <w:left w:val="nil"/>
          <w:bottom w:val="nil"/>
          <w:right w:val="nil"/>
          <w:between w:val="nil"/>
        </w:pBdr>
        <w:spacing w:after="150" w:line="275" w:lineRule="auto"/>
        <w:rPr>
          <w:b/>
          <w:bCs/>
          <w:color w:val="1F1F1F"/>
          <w:sz w:val="48"/>
          <w:szCs w:val="48"/>
        </w:rPr>
      </w:pPr>
      <w:r>
        <w:rPr>
          <w:b/>
          <w:bCs/>
          <w:color w:val="1F1F1F"/>
          <w:sz w:val="48"/>
          <w:szCs w:val="48"/>
        </w:rPr>
        <w:t>Advanced Predictive Analytics and Multi-Criteria Decision Frameworks for Electric Vehicle Battery Life Cycle Management within Circular Supply Chains</w:t>
      </w:r>
    </w:p>
    <w:p w14:paraId="420B7ED4" w14:textId="77777777" w:rsidR="00AF5863" w:rsidRDefault="00000000">
      <w:pPr>
        <w:pBdr>
          <w:top w:val="nil"/>
          <w:left w:val="nil"/>
          <w:bottom w:val="nil"/>
          <w:right w:val="nil"/>
          <w:between w:val="nil"/>
        </w:pBdr>
        <w:spacing w:after="150" w:line="275" w:lineRule="auto"/>
        <w:rPr>
          <w:color w:val="444746"/>
          <w:sz w:val="24"/>
          <w:szCs w:val="24"/>
          <w:vertAlign w:val="superscript"/>
        </w:rPr>
      </w:pPr>
      <w:r>
        <w:rPr>
          <w:color w:val="1F1F1F"/>
        </w:rPr>
        <w:t xml:space="preserve">The global shift toward vehicle electrification has fundamentally altered the industrial landscape, placing lithium-ion batteries at the </w:t>
      </w:r>
      <w:proofErr w:type="spellStart"/>
      <w:r>
        <w:rPr>
          <w:color w:val="1F1F1F"/>
        </w:rPr>
        <w:t>epicenter</w:t>
      </w:r>
      <w:proofErr w:type="spellEnd"/>
      <w:r>
        <w:rPr>
          <w:color w:val="1F1F1F"/>
        </w:rPr>
        <w:t xml:space="preserve"> of sustainable transport strategies. As the primary energy storage units for electric vehicles (EVs), these batteries are prized for their high energy density, power-to-weight ratios, and extensive cycle life. However, the proliferation of lithium-ion batteries introduces a critical challenge concerning their aging, degradation, and ultimate disposal. The transition from a linear "take-make-dispose" model to a circular supply chain is no longer a peripheral environmental goal but a central industrial imperative, driven by both the scarcity of critical raw materials and stringent regulatory mandates such as the European Union’s 2023/1542 Regulation.</w:t>
      </w:r>
      <w:r>
        <w:rPr>
          <w:color w:val="444746"/>
          <w:sz w:val="24"/>
          <w:szCs w:val="24"/>
          <w:vertAlign w:val="superscript"/>
        </w:rPr>
        <w:t>1</w:t>
      </w:r>
      <w:r>
        <w:rPr>
          <w:color w:val="1F1F1F"/>
        </w:rPr>
        <w:t xml:space="preserve"> Within this context, the integration of advanced predictive </w:t>
      </w:r>
      <w:proofErr w:type="spellStart"/>
      <w:r>
        <w:rPr>
          <w:color w:val="1F1F1F"/>
        </w:rPr>
        <w:t>modeling</w:t>
      </w:r>
      <w:proofErr w:type="spellEnd"/>
      <w:r>
        <w:rPr>
          <w:color w:val="1F1F1F"/>
        </w:rPr>
        <w:t>, specifically Long Short-Term Memory (LSTM) networks, and multi-criteria decision-making (MCDM) tools like the Technique for Order Preference by Similarity to Ideal Solution (TOPSIS), serves as a robust framework for managing the transition of batteries from their first life in vehicles to their second life in stationary storage or ultimate recycling.</w:t>
      </w:r>
      <w:r>
        <w:rPr>
          <w:color w:val="444746"/>
          <w:sz w:val="24"/>
          <w:szCs w:val="24"/>
          <w:vertAlign w:val="superscript"/>
        </w:rPr>
        <w:t>3</w:t>
      </w:r>
    </w:p>
    <w:p w14:paraId="4E0D5100" w14:textId="77777777" w:rsidR="00AF5863" w:rsidRDefault="00000000">
      <w:pPr>
        <w:pStyle w:val="Heading2"/>
        <w:spacing w:before="0" w:after="120" w:line="275" w:lineRule="auto"/>
        <w:rPr>
          <w:color w:val="1F1F1F"/>
        </w:rPr>
      </w:pPr>
      <w:r>
        <w:rPr>
          <w:color w:val="1F1F1F"/>
        </w:rPr>
        <w:t>Fundamental Mechanisms of Lithium-Ion Battery Degradation</w:t>
      </w:r>
    </w:p>
    <w:p w14:paraId="6FE93980" w14:textId="77777777" w:rsidR="00AF5863" w:rsidRDefault="00000000">
      <w:pPr>
        <w:pBdr>
          <w:top w:val="nil"/>
          <w:left w:val="nil"/>
          <w:bottom w:val="nil"/>
          <w:right w:val="nil"/>
          <w:between w:val="nil"/>
        </w:pBdr>
        <w:spacing w:after="150" w:line="275" w:lineRule="auto"/>
        <w:rPr>
          <w:color w:val="444746"/>
          <w:sz w:val="24"/>
          <w:szCs w:val="24"/>
          <w:vertAlign w:val="superscript"/>
        </w:rPr>
      </w:pPr>
      <w:r>
        <w:rPr>
          <w:color w:val="1F1F1F"/>
        </w:rPr>
        <w:t>The efficacy of any predictive health framework rests on a profound understanding of the electrochemical and mechanical processes that govern battery aging. Lithium-ion battery (LIB) degradation is an inherently nonlinear and complex phenomenon, influenced by operating temperature, charge/discharge rates (C-rates), depth of discharge (DoD), and charge cut-off voltages. These factors trigger irreversible physical and chemical changes within the cell, primarily categorized into the loss of lithium inventory (LLI) and the loss of active material (LAM).</w:t>
      </w:r>
      <w:r>
        <w:rPr>
          <w:color w:val="444746"/>
          <w:sz w:val="24"/>
          <w:szCs w:val="24"/>
          <w:vertAlign w:val="superscript"/>
        </w:rPr>
        <w:t>5</w:t>
      </w:r>
    </w:p>
    <w:p w14:paraId="614FCECC" w14:textId="77777777" w:rsidR="00AF5863" w:rsidRDefault="00000000">
      <w:pPr>
        <w:pStyle w:val="Heading3"/>
        <w:spacing w:before="0" w:after="120" w:line="275" w:lineRule="auto"/>
        <w:rPr>
          <w:color w:val="1F1F1F"/>
        </w:rPr>
      </w:pPr>
      <w:r>
        <w:rPr>
          <w:color w:val="1F1F1F"/>
        </w:rPr>
        <w:t>Solid Electrolyte Interphase (SEI) Layer Dynamics</w:t>
      </w:r>
    </w:p>
    <w:p w14:paraId="4DBD4625" w14:textId="77777777" w:rsidR="00AF5863" w:rsidRDefault="00000000">
      <w:pPr>
        <w:pBdr>
          <w:top w:val="nil"/>
          <w:left w:val="nil"/>
          <w:bottom w:val="nil"/>
          <w:right w:val="nil"/>
          <w:between w:val="nil"/>
        </w:pBdr>
        <w:spacing w:after="150" w:line="275" w:lineRule="auto"/>
        <w:rPr>
          <w:color w:val="1F1F1F"/>
        </w:rPr>
      </w:pPr>
      <w:r>
        <w:rPr>
          <w:color w:val="1F1F1F"/>
        </w:rPr>
        <w:t>A primary driver of capacity fade and internal resistance increase is the growth of the solid electrolyte interphase (SEI) layer on the anode surface. While a stable SEI layer protects the electrode from further electrolyte decomposition, its continuous growth consumes active lithium ions and blocks ion transport.</w:t>
      </w:r>
      <w:r>
        <w:rPr>
          <w:color w:val="444746"/>
          <w:sz w:val="24"/>
          <w:szCs w:val="24"/>
          <w:vertAlign w:val="superscript"/>
        </w:rPr>
        <w:t>6</w:t>
      </w:r>
      <w:r>
        <w:rPr>
          <w:color w:val="1F1F1F"/>
        </w:rPr>
        <w:t xml:space="preserve"> SEI growth is widely considered to be limited by a diffusion process. In a one-dimensional model extending from the negative electrode surface at </w:t>
      </w:r>
      <w:r>
        <w:rPr>
          <w:noProof/>
          <w:color w:val="1F1F1F"/>
        </w:rPr>
        <w:drawing>
          <wp:inline distT="19050" distB="19050" distL="19050" distR="19050" wp14:anchorId="28E5C39D" wp14:editId="118E1928">
            <wp:extent cx="443627" cy="237111"/>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443627" cy="237111"/>
                    </a:xfrm>
                    <a:prstGeom prst="rect">
                      <a:avLst/>
                    </a:prstGeom>
                    <a:ln/>
                  </pic:spPr>
                </pic:pic>
              </a:graphicData>
            </a:graphic>
          </wp:inline>
        </w:drawing>
      </w:r>
      <w:r>
        <w:rPr>
          <w:color w:val="1F1F1F"/>
        </w:rPr>
        <w:t xml:space="preserve"> </w:t>
      </w:r>
      <w:r>
        <w:rPr>
          <w:color w:val="1F1F1F"/>
        </w:rPr>
        <w:lastRenderedPageBreak/>
        <w:t xml:space="preserve">to </w:t>
      </w:r>
      <w:r>
        <w:rPr>
          <w:noProof/>
          <w:color w:val="1F1F1F"/>
        </w:rPr>
        <w:drawing>
          <wp:inline distT="19050" distB="19050" distL="19050" distR="19050" wp14:anchorId="1367D313" wp14:editId="11193495">
            <wp:extent cx="476964" cy="238482"/>
            <wp:effectExtent l="0" t="0" r="0" b="0"/>
            <wp:docPr id="1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8"/>
                    <a:srcRect/>
                    <a:stretch>
                      <a:fillRect/>
                    </a:stretch>
                  </pic:blipFill>
                  <pic:spPr>
                    <a:xfrm>
                      <a:off x="0" y="0"/>
                      <a:ext cx="476964" cy="238482"/>
                    </a:xfrm>
                    <a:prstGeom prst="rect">
                      <a:avLst/>
                    </a:prstGeom>
                    <a:ln/>
                  </pic:spPr>
                </pic:pic>
              </a:graphicData>
            </a:graphic>
          </wp:inline>
        </w:drawing>
      </w:r>
      <w:r>
        <w:rPr>
          <w:color w:val="1F1F1F"/>
        </w:rPr>
        <w:t xml:space="preserve">, the solvent concentration </w:t>
      </w:r>
      <w:r>
        <w:rPr>
          <w:noProof/>
          <w:color w:val="1F1F1F"/>
        </w:rPr>
        <w:drawing>
          <wp:inline distT="19050" distB="19050" distL="19050" distR="19050" wp14:anchorId="0F02DFD8" wp14:editId="7C521F48">
            <wp:extent cx="79891" cy="247662"/>
            <wp:effectExtent l="0" t="0" r="0" b="0"/>
            <wp:docPr id="1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79891" cy="247662"/>
                    </a:xfrm>
                    <a:prstGeom prst="rect">
                      <a:avLst/>
                    </a:prstGeom>
                    <a:ln/>
                  </pic:spPr>
                </pic:pic>
              </a:graphicData>
            </a:graphic>
          </wp:inline>
        </w:drawing>
      </w:r>
      <w:r>
        <w:rPr>
          <w:color w:val="1F1F1F"/>
        </w:rPr>
        <w:t xml:space="preserve"> within the porous SEI is governed by the following diffusion equation </w:t>
      </w:r>
      <w:r>
        <w:rPr>
          <w:color w:val="444746"/>
          <w:sz w:val="24"/>
          <w:szCs w:val="24"/>
          <w:vertAlign w:val="superscript"/>
        </w:rPr>
        <w:t>6</w:t>
      </w:r>
      <w:r>
        <w:rPr>
          <w:color w:val="1F1F1F"/>
        </w:rPr>
        <w:t>:</w:t>
      </w:r>
    </w:p>
    <w:p w14:paraId="7138D1B4" w14:textId="77777777" w:rsidR="00AF5863" w:rsidRDefault="00000000">
      <w:pPr>
        <w:pBdr>
          <w:top w:val="nil"/>
          <w:left w:val="nil"/>
          <w:bottom w:val="nil"/>
          <w:right w:val="nil"/>
          <w:between w:val="nil"/>
        </w:pBdr>
        <w:spacing w:line="275" w:lineRule="auto"/>
        <w:rPr>
          <w:color w:val="1F1F1F"/>
        </w:rPr>
      </w:pPr>
      <w:r>
        <w:rPr>
          <w:noProof/>
          <w:color w:val="1F1F1F"/>
        </w:rPr>
        <w:drawing>
          <wp:inline distT="19050" distB="19050" distL="19050" distR="19050" wp14:anchorId="758707BC" wp14:editId="5840BDCB">
            <wp:extent cx="5905500" cy="552490"/>
            <wp:effectExtent l="0" t="0" r="0" b="0"/>
            <wp:docPr id="1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5905500" cy="552490"/>
                    </a:xfrm>
                    <a:prstGeom prst="rect">
                      <a:avLst/>
                    </a:prstGeom>
                    <a:ln/>
                  </pic:spPr>
                </pic:pic>
              </a:graphicData>
            </a:graphic>
          </wp:inline>
        </w:drawing>
      </w:r>
    </w:p>
    <w:p w14:paraId="2BD1E58C" w14:textId="77777777" w:rsidR="00AF5863" w:rsidRDefault="00000000">
      <w:pPr>
        <w:pBdr>
          <w:top w:val="nil"/>
          <w:left w:val="nil"/>
          <w:bottom w:val="nil"/>
          <w:right w:val="nil"/>
          <w:between w:val="nil"/>
        </w:pBdr>
        <w:spacing w:after="150" w:line="275" w:lineRule="auto"/>
        <w:rPr>
          <w:color w:val="1F1F1F"/>
        </w:rPr>
      </w:pPr>
      <w:r>
        <w:rPr>
          <w:color w:val="1F1F1F"/>
        </w:rPr>
        <w:t xml:space="preserve">Where the solvent flux </w:t>
      </w:r>
      <w:r>
        <w:rPr>
          <w:noProof/>
          <w:color w:val="1F1F1F"/>
        </w:rPr>
        <w:drawing>
          <wp:inline distT="19050" distB="19050" distL="19050" distR="19050" wp14:anchorId="46BDF062" wp14:editId="7FBBBF0F">
            <wp:extent cx="168116" cy="236891"/>
            <wp:effectExtent l="0" t="0" r="0" b="0"/>
            <wp:docPr id="1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68116" cy="236891"/>
                    </a:xfrm>
                    <a:prstGeom prst="rect">
                      <a:avLst/>
                    </a:prstGeom>
                    <a:ln/>
                  </pic:spPr>
                </pic:pic>
              </a:graphicData>
            </a:graphic>
          </wp:inline>
        </w:drawing>
      </w:r>
      <w:r>
        <w:rPr>
          <w:color w:val="1F1F1F"/>
        </w:rPr>
        <w:t xml:space="preserve"> is defined by Fick's law:</w:t>
      </w:r>
    </w:p>
    <w:p w14:paraId="2E5FE8C7" w14:textId="77777777" w:rsidR="00AF5863" w:rsidRDefault="00000000">
      <w:pPr>
        <w:pBdr>
          <w:top w:val="nil"/>
          <w:left w:val="nil"/>
          <w:bottom w:val="nil"/>
          <w:right w:val="nil"/>
          <w:between w:val="nil"/>
        </w:pBdr>
        <w:spacing w:line="275" w:lineRule="auto"/>
        <w:rPr>
          <w:color w:val="1F1F1F"/>
        </w:rPr>
      </w:pPr>
      <w:r>
        <w:rPr>
          <w:noProof/>
          <w:color w:val="1F1F1F"/>
        </w:rPr>
        <w:drawing>
          <wp:inline distT="19050" distB="19050" distL="19050" distR="19050" wp14:anchorId="609D8C06" wp14:editId="17119979">
            <wp:extent cx="5905500" cy="552490"/>
            <wp:effectExtent l="0" t="0" r="0" b="0"/>
            <wp:docPr id="1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2"/>
                    <a:srcRect/>
                    <a:stretch>
                      <a:fillRect/>
                    </a:stretch>
                  </pic:blipFill>
                  <pic:spPr>
                    <a:xfrm>
                      <a:off x="0" y="0"/>
                      <a:ext cx="5905500" cy="552490"/>
                    </a:xfrm>
                    <a:prstGeom prst="rect">
                      <a:avLst/>
                    </a:prstGeom>
                    <a:ln/>
                  </pic:spPr>
                </pic:pic>
              </a:graphicData>
            </a:graphic>
          </wp:inline>
        </w:drawing>
      </w:r>
    </w:p>
    <w:p w14:paraId="3071E79F" w14:textId="77777777" w:rsidR="00AF5863" w:rsidRDefault="00000000">
      <w:pPr>
        <w:pBdr>
          <w:top w:val="nil"/>
          <w:left w:val="nil"/>
          <w:bottom w:val="nil"/>
          <w:right w:val="nil"/>
          <w:between w:val="nil"/>
        </w:pBdr>
        <w:spacing w:after="150" w:line="275" w:lineRule="auto"/>
        <w:rPr>
          <w:color w:val="1F1F1F"/>
        </w:rPr>
      </w:pPr>
      <w:r>
        <w:rPr>
          <w:color w:val="1F1F1F"/>
        </w:rPr>
        <w:t>At the electrode-SEI interface (</w:t>
      </w:r>
      <w:r>
        <w:rPr>
          <w:noProof/>
          <w:color w:val="1F1F1F"/>
        </w:rPr>
        <w:drawing>
          <wp:inline distT="19050" distB="19050" distL="19050" distR="19050" wp14:anchorId="193981E3" wp14:editId="4E38AD84">
            <wp:extent cx="443627" cy="237111"/>
            <wp:effectExtent l="0" t="0" r="0" b="0"/>
            <wp:docPr id="1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443627" cy="237111"/>
                    </a:xfrm>
                    <a:prstGeom prst="rect">
                      <a:avLst/>
                    </a:prstGeom>
                    <a:ln/>
                  </pic:spPr>
                </pic:pic>
              </a:graphicData>
            </a:graphic>
          </wp:inline>
        </w:drawing>
      </w:r>
      <w:r>
        <w:rPr>
          <w:color w:val="1F1F1F"/>
        </w:rPr>
        <w:t xml:space="preserve">), the solvent is consumed by the SEI growth reaction </w:t>
      </w:r>
      <w:r>
        <w:rPr>
          <w:noProof/>
          <w:color w:val="1F1F1F"/>
        </w:rPr>
        <w:drawing>
          <wp:inline distT="19050" distB="19050" distL="19050" distR="19050" wp14:anchorId="6F6588CD" wp14:editId="253E173C">
            <wp:extent cx="141327" cy="243397"/>
            <wp:effectExtent l="0" t="0" r="0" b="0"/>
            <wp:docPr id="2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141327" cy="243397"/>
                    </a:xfrm>
                    <a:prstGeom prst="rect">
                      <a:avLst/>
                    </a:prstGeom>
                    <a:ln/>
                  </pic:spPr>
                </pic:pic>
              </a:graphicData>
            </a:graphic>
          </wp:inline>
        </w:drawing>
      </w:r>
      <w:r>
        <w:rPr>
          <w:color w:val="1F1F1F"/>
        </w:rPr>
        <w:t xml:space="preserve">, often assumed to be proportional to the surface concentration </w:t>
      </w:r>
      <w:r>
        <w:rPr>
          <w:color w:val="444746"/>
          <w:sz w:val="24"/>
          <w:szCs w:val="24"/>
          <w:vertAlign w:val="superscript"/>
        </w:rPr>
        <w:t>6</w:t>
      </w:r>
      <w:r>
        <w:rPr>
          <w:color w:val="1F1F1F"/>
        </w:rPr>
        <w:t>:</w:t>
      </w:r>
    </w:p>
    <w:p w14:paraId="1CCF83A0" w14:textId="77777777" w:rsidR="00AF5863" w:rsidRDefault="00000000">
      <w:pPr>
        <w:pBdr>
          <w:top w:val="nil"/>
          <w:left w:val="nil"/>
          <w:bottom w:val="nil"/>
          <w:right w:val="nil"/>
          <w:between w:val="nil"/>
        </w:pBdr>
        <w:spacing w:line="275" w:lineRule="auto"/>
        <w:rPr>
          <w:color w:val="1F1F1F"/>
        </w:rPr>
      </w:pPr>
      <w:r>
        <w:rPr>
          <w:noProof/>
          <w:color w:val="1F1F1F"/>
        </w:rPr>
        <w:drawing>
          <wp:inline distT="19050" distB="19050" distL="19050" distR="19050" wp14:anchorId="5A0E2EE3" wp14:editId="6D29AF5A">
            <wp:extent cx="5905500" cy="435853"/>
            <wp:effectExtent l="0" t="0" r="0" b="0"/>
            <wp:docPr id="20"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4"/>
                    <a:srcRect/>
                    <a:stretch>
                      <a:fillRect/>
                    </a:stretch>
                  </pic:blipFill>
                  <pic:spPr>
                    <a:xfrm>
                      <a:off x="0" y="0"/>
                      <a:ext cx="5905500" cy="435853"/>
                    </a:xfrm>
                    <a:prstGeom prst="rect">
                      <a:avLst/>
                    </a:prstGeom>
                    <a:ln/>
                  </pic:spPr>
                </pic:pic>
              </a:graphicData>
            </a:graphic>
          </wp:inline>
        </w:drawing>
      </w:r>
    </w:p>
    <w:p w14:paraId="5FF941D4" w14:textId="77777777" w:rsidR="00AF5863" w:rsidRDefault="00000000">
      <w:pPr>
        <w:pBdr>
          <w:top w:val="nil"/>
          <w:left w:val="nil"/>
          <w:bottom w:val="nil"/>
          <w:right w:val="nil"/>
          <w:between w:val="nil"/>
        </w:pBdr>
        <w:spacing w:after="150" w:line="275" w:lineRule="auto"/>
        <w:rPr>
          <w:color w:val="1F1F1F"/>
        </w:rPr>
      </w:pPr>
      <w:r>
        <w:rPr>
          <w:color w:val="1F1F1F"/>
        </w:rPr>
        <w:t xml:space="preserve">The thickness of the SEI layer </w:t>
      </w:r>
      <w:r>
        <w:rPr>
          <w:noProof/>
          <w:color w:val="1F1F1F"/>
        </w:rPr>
        <w:drawing>
          <wp:inline distT="19050" distB="19050" distL="19050" distR="19050" wp14:anchorId="7338F751" wp14:editId="6B74E6B8">
            <wp:extent cx="125611" cy="243371"/>
            <wp:effectExtent l="0" t="0" r="0" b="0"/>
            <wp:docPr id="27"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5"/>
                    <a:srcRect/>
                    <a:stretch>
                      <a:fillRect/>
                    </a:stretch>
                  </pic:blipFill>
                  <pic:spPr>
                    <a:xfrm>
                      <a:off x="0" y="0"/>
                      <a:ext cx="125611" cy="243371"/>
                    </a:xfrm>
                    <a:prstGeom prst="rect">
                      <a:avLst/>
                    </a:prstGeom>
                    <a:ln/>
                  </pic:spPr>
                </pic:pic>
              </a:graphicData>
            </a:graphic>
          </wp:inline>
        </w:drawing>
      </w:r>
      <w:r>
        <w:rPr>
          <w:color w:val="1F1F1F"/>
        </w:rPr>
        <w:t xml:space="preserve"> grows at a rate proportional to this reaction flux, governed by the partial molar volume of the reaction products </w:t>
      </w:r>
      <w:r>
        <w:rPr>
          <w:noProof/>
          <w:color w:val="1F1F1F"/>
        </w:rPr>
        <w:drawing>
          <wp:inline distT="19050" distB="19050" distL="19050" distR="19050" wp14:anchorId="7EC40A44" wp14:editId="41CAC26C">
            <wp:extent cx="148471" cy="222706"/>
            <wp:effectExtent l="0" t="0" r="0" b="0"/>
            <wp:docPr id="2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6"/>
                    <a:srcRect/>
                    <a:stretch>
                      <a:fillRect/>
                    </a:stretch>
                  </pic:blipFill>
                  <pic:spPr>
                    <a:xfrm>
                      <a:off x="0" y="0"/>
                      <a:ext cx="148471" cy="222706"/>
                    </a:xfrm>
                    <a:prstGeom prst="rect">
                      <a:avLst/>
                    </a:prstGeom>
                    <a:ln/>
                  </pic:spPr>
                </pic:pic>
              </a:graphicData>
            </a:graphic>
          </wp:inline>
        </w:drawing>
      </w:r>
      <w:r>
        <w:rPr>
          <w:color w:val="1F1F1F"/>
        </w:rPr>
        <w:t xml:space="preserve"> </w:t>
      </w:r>
      <w:r>
        <w:rPr>
          <w:color w:val="444746"/>
          <w:sz w:val="24"/>
          <w:szCs w:val="24"/>
          <w:vertAlign w:val="superscript"/>
        </w:rPr>
        <w:t>6</w:t>
      </w:r>
      <w:r>
        <w:rPr>
          <w:color w:val="1F1F1F"/>
        </w:rPr>
        <w:t>:</w:t>
      </w:r>
    </w:p>
    <w:p w14:paraId="785F3E66" w14:textId="77777777" w:rsidR="00AF5863" w:rsidRDefault="00000000">
      <w:pPr>
        <w:pBdr>
          <w:top w:val="nil"/>
          <w:left w:val="nil"/>
          <w:bottom w:val="nil"/>
          <w:right w:val="nil"/>
          <w:between w:val="nil"/>
        </w:pBdr>
        <w:spacing w:line="275" w:lineRule="auto"/>
        <w:rPr>
          <w:color w:val="1F1F1F"/>
        </w:rPr>
      </w:pPr>
      <w:r>
        <w:rPr>
          <w:noProof/>
          <w:color w:val="1F1F1F"/>
        </w:rPr>
        <w:drawing>
          <wp:inline distT="19050" distB="19050" distL="19050" distR="19050" wp14:anchorId="1A917C7B" wp14:editId="5A614CF4">
            <wp:extent cx="5905500" cy="552490"/>
            <wp:effectExtent l="0" t="0" r="0" b="0"/>
            <wp:docPr id="2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7"/>
                    <a:srcRect/>
                    <a:stretch>
                      <a:fillRect/>
                    </a:stretch>
                  </pic:blipFill>
                  <pic:spPr>
                    <a:xfrm>
                      <a:off x="0" y="0"/>
                      <a:ext cx="5905500" cy="552490"/>
                    </a:xfrm>
                    <a:prstGeom prst="rect">
                      <a:avLst/>
                    </a:prstGeom>
                    <a:ln/>
                  </pic:spPr>
                </pic:pic>
              </a:graphicData>
            </a:graphic>
          </wp:inline>
        </w:drawing>
      </w:r>
    </w:p>
    <w:p w14:paraId="78E9CDD5" w14:textId="77777777" w:rsidR="00AF5863" w:rsidRDefault="00000000">
      <w:pPr>
        <w:pBdr>
          <w:top w:val="nil"/>
          <w:left w:val="nil"/>
          <w:bottom w:val="nil"/>
          <w:right w:val="nil"/>
          <w:between w:val="nil"/>
        </w:pBdr>
        <w:spacing w:after="150" w:line="275" w:lineRule="auto"/>
        <w:rPr>
          <w:color w:val="1F1F1F"/>
        </w:rPr>
      </w:pPr>
      <w:r>
        <w:rPr>
          <w:color w:val="1F1F1F"/>
        </w:rPr>
        <w:t>This creates a moving boundary problem typically solved using the Landau transformation.</w:t>
      </w:r>
      <w:r>
        <w:rPr>
          <w:color w:val="444746"/>
          <w:sz w:val="24"/>
          <w:szCs w:val="24"/>
          <w:vertAlign w:val="superscript"/>
        </w:rPr>
        <w:t>6</w:t>
      </w:r>
      <w:r>
        <w:rPr>
          <w:color w:val="1F1F1F"/>
        </w:rPr>
        <w:t xml:space="preserve"> Under low-temperature or high-rate charging, lithium ions may deposit on the surface as metallic lithium (lithium plating) rather than intercalating, potentially forming dendrites that cause internal short circuits.</w:t>
      </w:r>
    </w:p>
    <w:p w14:paraId="3C8A4B1B" w14:textId="77777777" w:rsidR="00AF5863" w:rsidRDefault="00000000">
      <w:pPr>
        <w:pStyle w:val="Heading3"/>
        <w:spacing w:before="0" w:after="120" w:line="275" w:lineRule="auto"/>
        <w:rPr>
          <w:color w:val="1F1F1F"/>
        </w:rPr>
      </w:pPr>
      <w:r>
        <w:rPr>
          <w:color w:val="1F1F1F"/>
        </w:rPr>
        <w:t>Mechanical Stress and Structural Aging</w:t>
      </w:r>
    </w:p>
    <w:p w14:paraId="207025D9" w14:textId="77777777" w:rsidR="00AF5863" w:rsidRDefault="00000000">
      <w:pPr>
        <w:pBdr>
          <w:top w:val="nil"/>
          <w:left w:val="nil"/>
          <w:bottom w:val="nil"/>
          <w:right w:val="nil"/>
          <w:between w:val="nil"/>
        </w:pBdr>
        <w:spacing w:after="150" w:line="275" w:lineRule="auto"/>
        <w:rPr>
          <w:color w:val="1F1F1F"/>
        </w:rPr>
      </w:pPr>
      <w:r>
        <w:rPr>
          <w:color w:val="1F1F1F"/>
        </w:rPr>
        <w:t xml:space="preserve">Mechanical stressors significantly impact degradation. Phase transitions during lithium insertion/desorption in chemistries like NMC or LCO lead to strains and microcracks, reducing </w:t>
      </w:r>
      <w:r>
        <w:rPr>
          <w:noProof/>
          <w:color w:val="1F1F1F"/>
        </w:rPr>
        <w:drawing>
          <wp:inline distT="19050" distB="19050" distL="19050" distR="19050" wp14:anchorId="61D21769" wp14:editId="53D91120">
            <wp:extent cx="298966" cy="243893"/>
            <wp:effectExtent l="0" t="0" r="0" b="0"/>
            <wp:docPr id="28"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8"/>
                    <a:srcRect/>
                    <a:stretch>
                      <a:fillRect/>
                    </a:stretch>
                  </pic:blipFill>
                  <pic:spPr>
                    <a:xfrm>
                      <a:off x="0" y="0"/>
                      <a:ext cx="298966" cy="243893"/>
                    </a:xfrm>
                    <a:prstGeom prst="rect">
                      <a:avLst/>
                    </a:prstGeom>
                    <a:ln/>
                  </pic:spPr>
                </pic:pic>
              </a:graphicData>
            </a:graphic>
          </wp:inline>
        </w:drawing>
      </w:r>
      <w:r>
        <w:rPr>
          <w:color w:val="1F1F1F"/>
        </w:rPr>
        <w:t xml:space="preserve"> diffusivity. These mechanical losses are often </w:t>
      </w:r>
      <w:proofErr w:type="spellStart"/>
      <w:r>
        <w:rPr>
          <w:color w:val="1F1F1F"/>
        </w:rPr>
        <w:t>modeled</w:t>
      </w:r>
      <w:proofErr w:type="spellEnd"/>
      <w:r>
        <w:rPr>
          <w:color w:val="1F1F1F"/>
        </w:rPr>
        <w:t xml:space="preserve"> alongside SEI growth to predict long-term capacity fade. Understanding these mechanisms allows for the extraction of health features (HFs) from incremental capacity (IC) and differential voltage (DV) curves, which serve as primary inputs for data-driven models.</w:t>
      </w:r>
    </w:p>
    <w:p w14:paraId="0968C3E9" w14:textId="77777777" w:rsidR="00AF5863" w:rsidRDefault="00000000">
      <w:pPr>
        <w:pStyle w:val="Heading2"/>
        <w:spacing w:before="0" w:after="120" w:line="275" w:lineRule="auto"/>
        <w:rPr>
          <w:color w:val="1F1F1F"/>
        </w:rPr>
      </w:pPr>
      <w:r>
        <w:rPr>
          <w:color w:val="1F1F1F"/>
        </w:rPr>
        <w:t>State of Health (</w:t>
      </w:r>
      <w:proofErr w:type="spellStart"/>
      <w:r>
        <w:rPr>
          <w:color w:val="1F1F1F"/>
        </w:rPr>
        <w:t>SoH</w:t>
      </w:r>
      <w:proofErr w:type="spellEnd"/>
      <w:r>
        <w:rPr>
          <w:color w:val="1F1F1F"/>
        </w:rPr>
        <w:t>) and Remaining Useful Life (RUL) Frameworks</w:t>
      </w:r>
    </w:p>
    <w:p w14:paraId="13307F77" w14:textId="77777777" w:rsidR="00AF5863" w:rsidRDefault="00000000">
      <w:pPr>
        <w:pBdr>
          <w:top w:val="nil"/>
          <w:left w:val="nil"/>
          <w:bottom w:val="nil"/>
          <w:right w:val="nil"/>
          <w:between w:val="nil"/>
        </w:pBdr>
        <w:spacing w:after="150" w:line="275" w:lineRule="auto"/>
        <w:rPr>
          <w:color w:val="1F1F1F"/>
        </w:rPr>
      </w:pPr>
      <w:r>
        <w:rPr>
          <w:color w:val="1F1F1F"/>
        </w:rPr>
        <w:t>Managing battery assets requires accurate estimation of State of Health (</w:t>
      </w:r>
      <w:proofErr w:type="spellStart"/>
      <w:r>
        <w:rPr>
          <w:color w:val="1F1F1F"/>
        </w:rPr>
        <w:t>SoH</w:t>
      </w:r>
      <w:proofErr w:type="spellEnd"/>
      <w:r>
        <w:rPr>
          <w:color w:val="1F1F1F"/>
        </w:rPr>
        <w:t xml:space="preserve">) and Remaining Useful Life (RUL). </w:t>
      </w:r>
      <w:proofErr w:type="spellStart"/>
      <w:r>
        <w:rPr>
          <w:color w:val="1F1F1F"/>
        </w:rPr>
        <w:t>SoH</w:t>
      </w:r>
      <w:proofErr w:type="spellEnd"/>
      <w:r>
        <w:rPr>
          <w:color w:val="1F1F1F"/>
        </w:rPr>
        <w:t xml:space="preserve"> is the ratio of current maximum capacity to initial nominal capacity </w:t>
      </w:r>
      <w:r>
        <w:rPr>
          <w:color w:val="444746"/>
          <w:sz w:val="24"/>
          <w:szCs w:val="24"/>
          <w:vertAlign w:val="superscript"/>
        </w:rPr>
        <w:t>9</w:t>
      </w:r>
      <w:r>
        <w:rPr>
          <w:color w:val="1F1F1F"/>
        </w:rPr>
        <w:t>:</w:t>
      </w:r>
    </w:p>
    <w:p w14:paraId="4696A616" w14:textId="77777777" w:rsidR="00AF5863" w:rsidRDefault="00000000">
      <w:pPr>
        <w:pBdr>
          <w:top w:val="nil"/>
          <w:left w:val="nil"/>
          <w:bottom w:val="nil"/>
          <w:right w:val="nil"/>
          <w:between w:val="nil"/>
        </w:pBdr>
        <w:spacing w:line="275" w:lineRule="auto"/>
        <w:rPr>
          <w:color w:val="1F1F1F"/>
        </w:rPr>
      </w:pPr>
      <w:r>
        <w:rPr>
          <w:noProof/>
          <w:color w:val="1F1F1F"/>
        </w:rPr>
        <w:lastRenderedPageBreak/>
        <w:drawing>
          <wp:inline distT="19050" distB="19050" distL="19050" distR="19050" wp14:anchorId="4972EDBD" wp14:editId="591741D4">
            <wp:extent cx="5905500" cy="570906"/>
            <wp:effectExtent l="0" t="0" r="0" b="0"/>
            <wp:docPr id="30"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19"/>
                    <a:srcRect/>
                    <a:stretch>
                      <a:fillRect/>
                    </a:stretch>
                  </pic:blipFill>
                  <pic:spPr>
                    <a:xfrm>
                      <a:off x="0" y="0"/>
                      <a:ext cx="5905500" cy="570906"/>
                    </a:xfrm>
                    <a:prstGeom prst="rect">
                      <a:avLst/>
                    </a:prstGeom>
                    <a:ln/>
                  </pic:spPr>
                </pic:pic>
              </a:graphicData>
            </a:graphic>
          </wp:inline>
        </w:drawing>
      </w:r>
    </w:p>
    <w:p w14:paraId="1C6E7A21" w14:textId="77777777" w:rsidR="00AF5863" w:rsidRDefault="00000000">
      <w:pPr>
        <w:pBdr>
          <w:top w:val="nil"/>
          <w:left w:val="nil"/>
          <w:bottom w:val="nil"/>
          <w:right w:val="nil"/>
          <w:between w:val="nil"/>
        </w:pBdr>
        <w:spacing w:after="150" w:line="275" w:lineRule="auto"/>
        <w:rPr>
          <w:color w:val="1F1F1F"/>
        </w:rPr>
      </w:pPr>
      <w:r>
        <w:rPr>
          <w:color w:val="1F1F1F"/>
        </w:rPr>
        <w:t xml:space="preserve">EV batteries are conventionally retired when </w:t>
      </w:r>
      <w:proofErr w:type="spellStart"/>
      <w:r>
        <w:rPr>
          <w:color w:val="1F1F1F"/>
        </w:rPr>
        <w:t>SoH</w:t>
      </w:r>
      <w:proofErr w:type="spellEnd"/>
      <w:r>
        <w:rPr>
          <w:color w:val="1F1F1F"/>
        </w:rPr>
        <w:t xml:space="preserve"> reaches 80%. RUL prediction forecasts the remaining cycles before this threshold is hit. Methodologies have evolved from Equivalent Circuit Models (ECMs) to sophisticated deep learning architectures that learn nonlinear degradation directly from operational data.</w:t>
      </w:r>
    </w:p>
    <w:p w14:paraId="554FF930" w14:textId="77777777" w:rsidR="00AF5863" w:rsidRDefault="00000000">
      <w:pPr>
        <w:pStyle w:val="Heading2"/>
        <w:spacing w:before="0" w:after="120" w:line="275" w:lineRule="auto"/>
        <w:rPr>
          <w:color w:val="1F1F1F"/>
        </w:rPr>
      </w:pPr>
      <w:r>
        <w:rPr>
          <w:color w:val="1F1F1F"/>
        </w:rPr>
        <w:t>Mathematical Foundations of LSTM in Battery Prognostics</w:t>
      </w:r>
    </w:p>
    <w:p w14:paraId="78177EED" w14:textId="77777777" w:rsidR="00AF5863" w:rsidRDefault="00000000">
      <w:pPr>
        <w:pBdr>
          <w:top w:val="nil"/>
          <w:left w:val="nil"/>
          <w:bottom w:val="nil"/>
          <w:right w:val="nil"/>
          <w:between w:val="nil"/>
        </w:pBdr>
        <w:spacing w:after="150" w:line="275" w:lineRule="auto"/>
        <w:rPr>
          <w:color w:val="444746"/>
          <w:sz w:val="24"/>
          <w:szCs w:val="24"/>
          <w:vertAlign w:val="superscript"/>
        </w:rPr>
      </w:pPr>
      <w:r>
        <w:rPr>
          <w:color w:val="1F1F1F"/>
        </w:rPr>
        <w:t>Recurrent Neural Networks (RNNs), specifically LSTMs, are uniquely suited for battery health prediction due to their gating mechanisms that mitigate the vanishing gradient problem.</w:t>
      </w:r>
      <w:r>
        <w:rPr>
          <w:color w:val="444746"/>
          <w:sz w:val="24"/>
          <w:szCs w:val="24"/>
          <w:vertAlign w:val="superscript"/>
        </w:rPr>
        <w:t>10</w:t>
      </w:r>
    </w:p>
    <w:p w14:paraId="386D37CB" w14:textId="77777777" w:rsidR="00AF5863" w:rsidRDefault="00000000">
      <w:pPr>
        <w:pStyle w:val="Heading3"/>
        <w:spacing w:before="0" w:after="120" w:line="275" w:lineRule="auto"/>
        <w:rPr>
          <w:color w:val="1F1F1F"/>
        </w:rPr>
      </w:pPr>
      <w:r>
        <w:rPr>
          <w:color w:val="1F1F1F"/>
        </w:rPr>
        <w:t>LSTM Gating Mechanism</w:t>
      </w:r>
    </w:p>
    <w:p w14:paraId="51023D96" w14:textId="77777777" w:rsidR="00AF5863" w:rsidRDefault="00000000">
      <w:pPr>
        <w:pBdr>
          <w:top w:val="nil"/>
          <w:left w:val="nil"/>
          <w:bottom w:val="nil"/>
          <w:right w:val="nil"/>
          <w:between w:val="nil"/>
        </w:pBdr>
        <w:spacing w:after="150" w:line="275" w:lineRule="auto"/>
        <w:rPr>
          <w:color w:val="1F1F1F"/>
        </w:rPr>
      </w:pPr>
      <w:r>
        <w:rPr>
          <w:color w:val="1F1F1F"/>
        </w:rPr>
        <w:t xml:space="preserve">The core of the LSTM is the cell state </w:t>
      </w:r>
      <w:r>
        <w:rPr>
          <w:noProof/>
          <w:color w:val="1F1F1F"/>
        </w:rPr>
        <w:drawing>
          <wp:inline distT="19050" distB="19050" distL="19050" distR="19050" wp14:anchorId="6C453782" wp14:editId="366F59BB">
            <wp:extent cx="187762" cy="232824"/>
            <wp:effectExtent l="0" t="0" r="0" b="0"/>
            <wp:docPr id="3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0"/>
                    <a:srcRect/>
                    <a:stretch>
                      <a:fillRect/>
                    </a:stretch>
                  </pic:blipFill>
                  <pic:spPr>
                    <a:xfrm>
                      <a:off x="0" y="0"/>
                      <a:ext cx="187762" cy="232824"/>
                    </a:xfrm>
                    <a:prstGeom prst="rect">
                      <a:avLst/>
                    </a:prstGeom>
                    <a:ln/>
                  </pic:spPr>
                </pic:pic>
              </a:graphicData>
            </a:graphic>
          </wp:inline>
        </w:drawing>
      </w:r>
      <w:r>
        <w:rPr>
          <w:color w:val="1F1F1F"/>
        </w:rPr>
        <w:t xml:space="preserve">, regulated by three logic gates </w:t>
      </w:r>
      <w:r>
        <w:rPr>
          <w:color w:val="444746"/>
          <w:sz w:val="24"/>
          <w:szCs w:val="24"/>
          <w:vertAlign w:val="superscript"/>
        </w:rPr>
        <w:t>12</w:t>
      </w:r>
      <w:r>
        <w:rPr>
          <w:color w:val="1F1F1F"/>
        </w:rPr>
        <w:t>:</w:t>
      </w:r>
    </w:p>
    <w:p w14:paraId="5E019156" w14:textId="77777777" w:rsidR="00AF5863" w:rsidRDefault="00000000">
      <w:pPr>
        <w:numPr>
          <w:ilvl w:val="0"/>
          <w:numId w:val="1"/>
        </w:numPr>
        <w:pBdr>
          <w:top w:val="nil"/>
          <w:left w:val="nil"/>
          <w:bottom w:val="nil"/>
          <w:right w:val="nil"/>
          <w:between w:val="nil"/>
        </w:pBdr>
        <w:spacing w:line="275" w:lineRule="auto"/>
      </w:pPr>
      <w:r>
        <w:rPr>
          <w:b/>
          <w:bCs/>
          <w:color w:val="1F1F1F"/>
        </w:rPr>
        <w:t>Forget Gate (</w:t>
      </w:r>
      <w:r>
        <w:rPr>
          <w:b/>
          <w:bCs/>
          <w:noProof/>
          <w:color w:val="1F1F1F"/>
        </w:rPr>
        <w:drawing>
          <wp:inline distT="19050" distB="19050" distL="19050" distR="19050" wp14:anchorId="68D23D2A" wp14:editId="6481531D">
            <wp:extent cx="146209" cy="251804"/>
            <wp:effectExtent l="0" t="0" r="0" b="0"/>
            <wp:docPr id="34"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1"/>
                    <a:srcRect/>
                    <a:stretch>
                      <a:fillRect/>
                    </a:stretch>
                  </pic:blipFill>
                  <pic:spPr>
                    <a:xfrm>
                      <a:off x="0" y="0"/>
                      <a:ext cx="146209" cy="251804"/>
                    </a:xfrm>
                    <a:prstGeom prst="rect">
                      <a:avLst/>
                    </a:prstGeom>
                    <a:ln/>
                  </pic:spPr>
                </pic:pic>
              </a:graphicData>
            </a:graphic>
          </wp:inline>
        </w:drawing>
      </w:r>
      <w:r>
        <w:rPr>
          <w:b/>
          <w:bCs/>
          <w:color w:val="1F1F1F"/>
        </w:rPr>
        <w:t>):</w:t>
      </w:r>
      <w:r>
        <w:rPr>
          <w:color w:val="1F1F1F"/>
        </w:rPr>
        <w:t xml:space="preserve"> Decides which information from the previous state </w:t>
      </w:r>
      <w:r>
        <w:rPr>
          <w:noProof/>
          <w:color w:val="1F1F1F"/>
        </w:rPr>
        <w:drawing>
          <wp:inline distT="19050" distB="19050" distL="19050" distR="19050" wp14:anchorId="505E7E17" wp14:editId="54180A2D">
            <wp:extent cx="352901" cy="237825"/>
            <wp:effectExtent l="0" t="0" r="0" b="0"/>
            <wp:docPr id="36"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2"/>
                    <a:srcRect/>
                    <a:stretch>
                      <a:fillRect/>
                    </a:stretch>
                  </pic:blipFill>
                  <pic:spPr>
                    <a:xfrm>
                      <a:off x="0" y="0"/>
                      <a:ext cx="352901" cy="237825"/>
                    </a:xfrm>
                    <a:prstGeom prst="rect">
                      <a:avLst/>
                    </a:prstGeom>
                    <a:ln/>
                  </pic:spPr>
                </pic:pic>
              </a:graphicData>
            </a:graphic>
          </wp:inline>
        </w:drawing>
      </w:r>
      <w:r>
        <w:rPr>
          <w:color w:val="1F1F1F"/>
        </w:rPr>
        <w:t xml:space="preserve"> to discard.</w:t>
      </w:r>
      <w:r>
        <w:rPr>
          <w:color w:val="444746"/>
          <w:sz w:val="24"/>
          <w:szCs w:val="24"/>
          <w:vertAlign w:val="superscript"/>
        </w:rPr>
        <w:t>13</w:t>
      </w:r>
      <w:r>
        <w:rPr>
          <w:color w:val="000000"/>
        </w:rPr>
        <w:br/>
      </w:r>
      <w:r>
        <w:rPr>
          <w:noProof/>
          <w:color w:val="000000"/>
        </w:rPr>
        <w:drawing>
          <wp:inline distT="19050" distB="19050" distL="19050" distR="19050" wp14:anchorId="394B47AD" wp14:editId="18097DD5">
            <wp:extent cx="5905500" cy="458241"/>
            <wp:effectExtent l="0" t="0" r="0" b="0"/>
            <wp:docPr id="38"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23"/>
                    <a:srcRect/>
                    <a:stretch>
                      <a:fillRect/>
                    </a:stretch>
                  </pic:blipFill>
                  <pic:spPr>
                    <a:xfrm>
                      <a:off x="0" y="0"/>
                      <a:ext cx="5905500" cy="458241"/>
                    </a:xfrm>
                    <a:prstGeom prst="rect">
                      <a:avLst/>
                    </a:prstGeom>
                    <a:ln/>
                  </pic:spPr>
                </pic:pic>
              </a:graphicData>
            </a:graphic>
          </wp:inline>
        </w:drawing>
      </w:r>
    </w:p>
    <w:p w14:paraId="7D317504" w14:textId="77777777" w:rsidR="00AF5863" w:rsidRDefault="00000000">
      <w:pPr>
        <w:numPr>
          <w:ilvl w:val="0"/>
          <w:numId w:val="1"/>
        </w:numPr>
        <w:pBdr>
          <w:top w:val="nil"/>
          <w:left w:val="nil"/>
          <w:bottom w:val="nil"/>
          <w:right w:val="nil"/>
          <w:between w:val="nil"/>
        </w:pBdr>
        <w:spacing w:line="275" w:lineRule="auto"/>
      </w:pPr>
      <w:r>
        <w:rPr>
          <w:b/>
          <w:bCs/>
          <w:color w:val="1F1F1F"/>
        </w:rPr>
        <w:t>Input Gate (</w:t>
      </w:r>
      <w:r>
        <w:rPr>
          <w:b/>
          <w:bCs/>
          <w:noProof/>
          <w:color w:val="1F1F1F"/>
        </w:rPr>
        <w:drawing>
          <wp:inline distT="19050" distB="19050" distL="19050" distR="19050" wp14:anchorId="3F2D20E2" wp14:editId="41534309">
            <wp:extent cx="119539" cy="231606"/>
            <wp:effectExtent l="0" t="0" r="0" b="0"/>
            <wp:docPr id="40"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24"/>
                    <a:srcRect/>
                    <a:stretch>
                      <a:fillRect/>
                    </a:stretch>
                  </pic:blipFill>
                  <pic:spPr>
                    <a:xfrm>
                      <a:off x="0" y="0"/>
                      <a:ext cx="119539" cy="231606"/>
                    </a:xfrm>
                    <a:prstGeom prst="rect">
                      <a:avLst/>
                    </a:prstGeom>
                    <a:ln/>
                  </pic:spPr>
                </pic:pic>
              </a:graphicData>
            </a:graphic>
          </wp:inline>
        </w:drawing>
      </w:r>
      <w:r>
        <w:rPr>
          <w:b/>
          <w:bCs/>
          <w:color w:val="1F1F1F"/>
        </w:rPr>
        <w:t>):</w:t>
      </w:r>
      <w:r>
        <w:rPr>
          <w:color w:val="1F1F1F"/>
        </w:rPr>
        <w:t xml:space="preserve"> Determines which new values to update.</w:t>
      </w:r>
      <w:r>
        <w:rPr>
          <w:color w:val="444746"/>
          <w:sz w:val="24"/>
          <w:szCs w:val="24"/>
          <w:vertAlign w:val="superscript"/>
        </w:rPr>
        <w:t>12</w:t>
      </w:r>
      <w:r>
        <w:rPr>
          <w:color w:val="000000"/>
        </w:rPr>
        <w:br/>
      </w:r>
      <w:r>
        <w:rPr>
          <w:noProof/>
          <w:color w:val="000000"/>
        </w:rPr>
        <w:drawing>
          <wp:inline distT="19050" distB="19050" distL="19050" distR="19050" wp14:anchorId="323F8E4E" wp14:editId="4B431E9A">
            <wp:extent cx="5905500" cy="458241"/>
            <wp:effectExtent l="0" t="0" r="0" b="0"/>
            <wp:docPr id="41"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25"/>
                    <a:srcRect/>
                    <a:stretch>
                      <a:fillRect/>
                    </a:stretch>
                  </pic:blipFill>
                  <pic:spPr>
                    <a:xfrm>
                      <a:off x="0" y="0"/>
                      <a:ext cx="5905500" cy="458241"/>
                    </a:xfrm>
                    <a:prstGeom prst="rect">
                      <a:avLst/>
                    </a:prstGeom>
                    <a:ln/>
                  </pic:spPr>
                </pic:pic>
              </a:graphicData>
            </a:graphic>
          </wp:inline>
        </w:drawing>
      </w:r>
      <w:r>
        <w:rPr>
          <w:color w:val="000000"/>
        </w:rPr>
        <w:br/>
      </w:r>
      <w:r>
        <w:rPr>
          <w:color w:val="1F1F1F"/>
        </w:rPr>
        <w:t xml:space="preserve">A candidate cell state </w:t>
      </w:r>
      <w:r>
        <w:rPr>
          <w:noProof/>
          <w:color w:val="1F1F1F"/>
        </w:rPr>
        <w:drawing>
          <wp:inline distT="19050" distB="19050" distL="19050" distR="19050" wp14:anchorId="68F9D2BC" wp14:editId="53165980">
            <wp:extent cx="187762" cy="210293"/>
            <wp:effectExtent l="0" t="0" r="0" b="0"/>
            <wp:docPr id="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6"/>
                    <a:srcRect/>
                    <a:stretch>
                      <a:fillRect/>
                    </a:stretch>
                  </pic:blipFill>
                  <pic:spPr>
                    <a:xfrm>
                      <a:off x="0" y="0"/>
                      <a:ext cx="187762" cy="210293"/>
                    </a:xfrm>
                    <a:prstGeom prst="rect">
                      <a:avLst/>
                    </a:prstGeom>
                    <a:ln/>
                  </pic:spPr>
                </pic:pic>
              </a:graphicData>
            </a:graphic>
          </wp:inline>
        </w:drawing>
      </w:r>
      <w:r>
        <w:rPr>
          <w:color w:val="1F1F1F"/>
        </w:rPr>
        <w:t xml:space="preserve"> is also generated:</w:t>
      </w:r>
      <w:r>
        <w:rPr>
          <w:color w:val="000000"/>
        </w:rPr>
        <w:br/>
      </w:r>
      <w:r>
        <w:rPr>
          <w:noProof/>
          <w:color w:val="000000"/>
        </w:rPr>
        <w:drawing>
          <wp:inline distT="19050" distB="19050" distL="19050" distR="19050" wp14:anchorId="1B747039" wp14:editId="5D0203B0">
            <wp:extent cx="5905500" cy="458241"/>
            <wp:effectExtent l="0" t="0" r="0" b="0"/>
            <wp:docPr id="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7"/>
                    <a:srcRect/>
                    <a:stretch>
                      <a:fillRect/>
                    </a:stretch>
                  </pic:blipFill>
                  <pic:spPr>
                    <a:xfrm>
                      <a:off x="0" y="0"/>
                      <a:ext cx="5905500" cy="458241"/>
                    </a:xfrm>
                    <a:prstGeom prst="rect">
                      <a:avLst/>
                    </a:prstGeom>
                    <a:ln/>
                  </pic:spPr>
                </pic:pic>
              </a:graphicData>
            </a:graphic>
          </wp:inline>
        </w:drawing>
      </w:r>
    </w:p>
    <w:p w14:paraId="6D63266B" w14:textId="77777777" w:rsidR="00AF5863" w:rsidRDefault="00000000">
      <w:pPr>
        <w:numPr>
          <w:ilvl w:val="0"/>
          <w:numId w:val="1"/>
        </w:numPr>
        <w:pBdr>
          <w:top w:val="nil"/>
          <w:left w:val="nil"/>
          <w:bottom w:val="nil"/>
          <w:right w:val="nil"/>
          <w:between w:val="nil"/>
        </w:pBdr>
        <w:spacing w:line="275" w:lineRule="auto"/>
      </w:pPr>
      <w:r>
        <w:rPr>
          <w:b/>
          <w:bCs/>
          <w:color w:val="1F1F1F"/>
        </w:rPr>
        <w:t>Cell State Update:</w:t>
      </w:r>
      <w:r>
        <w:rPr>
          <w:color w:val="1F1F1F"/>
        </w:rPr>
        <w:t xml:space="preserve"> Combines the gates to produce the new internal state </w:t>
      </w:r>
      <w:r>
        <w:rPr>
          <w:color w:val="444746"/>
          <w:sz w:val="24"/>
          <w:szCs w:val="24"/>
          <w:vertAlign w:val="superscript"/>
        </w:rPr>
        <w:t>14</w:t>
      </w:r>
      <w:r>
        <w:rPr>
          <w:color w:val="1F1F1F"/>
        </w:rPr>
        <w:t>:</w:t>
      </w:r>
      <w:r>
        <w:rPr>
          <w:color w:val="000000"/>
        </w:rPr>
        <w:br/>
      </w:r>
      <w:r>
        <w:rPr>
          <w:noProof/>
          <w:color w:val="000000"/>
        </w:rPr>
        <w:drawing>
          <wp:inline distT="19050" distB="19050" distL="19050" distR="19050" wp14:anchorId="31544DA1" wp14:editId="0A32F966">
            <wp:extent cx="5905500" cy="458241"/>
            <wp:effectExtent l="0" t="0" r="0" b="0"/>
            <wp:docPr id="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8"/>
                    <a:srcRect/>
                    <a:stretch>
                      <a:fillRect/>
                    </a:stretch>
                  </pic:blipFill>
                  <pic:spPr>
                    <a:xfrm>
                      <a:off x="0" y="0"/>
                      <a:ext cx="5905500" cy="458241"/>
                    </a:xfrm>
                    <a:prstGeom prst="rect">
                      <a:avLst/>
                    </a:prstGeom>
                    <a:ln/>
                  </pic:spPr>
                </pic:pic>
              </a:graphicData>
            </a:graphic>
          </wp:inline>
        </w:drawing>
      </w:r>
    </w:p>
    <w:p w14:paraId="0FC5BC67" w14:textId="77777777" w:rsidR="00AF5863" w:rsidRDefault="00000000">
      <w:pPr>
        <w:numPr>
          <w:ilvl w:val="0"/>
          <w:numId w:val="1"/>
        </w:numPr>
        <w:pBdr>
          <w:top w:val="nil"/>
          <w:left w:val="nil"/>
          <w:bottom w:val="nil"/>
          <w:right w:val="nil"/>
          <w:between w:val="nil"/>
        </w:pBdr>
        <w:spacing w:after="120" w:line="275" w:lineRule="auto"/>
      </w:pPr>
      <w:r>
        <w:rPr>
          <w:b/>
          <w:bCs/>
          <w:color w:val="1F1F1F"/>
        </w:rPr>
        <w:t>Output Gate (</w:t>
      </w:r>
      <w:r>
        <w:rPr>
          <w:b/>
          <w:bCs/>
          <w:noProof/>
          <w:color w:val="1F1F1F"/>
        </w:rPr>
        <w:drawing>
          <wp:inline distT="19050" distB="19050" distL="19050" distR="19050" wp14:anchorId="609684B6" wp14:editId="096E1EF9">
            <wp:extent cx="145375" cy="250369"/>
            <wp:effectExtent l="0" t="0" r="0" b="0"/>
            <wp:docPr id="5"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9"/>
                    <a:srcRect/>
                    <a:stretch>
                      <a:fillRect/>
                    </a:stretch>
                  </pic:blipFill>
                  <pic:spPr>
                    <a:xfrm>
                      <a:off x="0" y="0"/>
                      <a:ext cx="145375" cy="250369"/>
                    </a:xfrm>
                    <a:prstGeom prst="rect">
                      <a:avLst/>
                    </a:prstGeom>
                    <a:ln/>
                  </pic:spPr>
                </pic:pic>
              </a:graphicData>
            </a:graphic>
          </wp:inline>
        </w:drawing>
      </w:r>
      <w:r>
        <w:rPr>
          <w:b/>
          <w:bCs/>
          <w:color w:val="1F1F1F"/>
        </w:rPr>
        <w:t>):</w:t>
      </w:r>
      <w:r>
        <w:rPr>
          <w:color w:val="1F1F1F"/>
        </w:rPr>
        <w:t xml:space="preserve"> Regulates the information passed to the hidden state </w:t>
      </w:r>
      <w:r>
        <w:rPr>
          <w:noProof/>
          <w:color w:val="1F1F1F"/>
        </w:rPr>
        <w:drawing>
          <wp:inline distT="19050" distB="19050" distL="19050" distR="19050" wp14:anchorId="60A6FCAA" wp14:editId="0137E72B">
            <wp:extent cx="162163" cy="239384"/>
            <wp:effectExtent l="0" t="0" r="0" b="0"/>
            <wp:docPr id="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0"/>
                    <a:srcRect/>
                    <a:stretch>
                      <a:fillRect/>
                    </a:stretch>
                  </pic:blipFill>
                  <pic:spPr>
                    <a:xfrm>
                      <a:off x="0" y="0"/>
                      <a:ext cx="162163" cy="239384"/>
                    </a:xfrm>
                    <a:prstGeom prst="rect">
                      <a:avLst/>
                    </a:prstGeom>
                    <a:ln/>
                  </pic:spPr>
                </pic:pic>
              </a:graphicData>
            </a:graphic>
          </wp:inline>
        </w:drawing>
      </w:r>
      <w:r>
        <w:rPr>
          <w:color w:val="1F1F1F"/>
        </w:rPr>
        <w:t xml:space="preserve"> </w:t>
      </w:r>
      <w:r>
        <w:rPr>
          <w:color w:val="444746"/>
          <w:sz w:val="24"/>
          <w:szCs w:val="24"/>
          <w:vertAlign w:val="superscript"/>
        </w:rPr>
        <w:t>14</w:t>
      </w:r>
      <w:r>
        <w:rPr>
          <w:color w:val="1F1F1F"/>
        </w:rPr>
        <w:t>:</w:t>
      </w:r>
      <w:r>
        <w:rPr>
          <w:color w:val="000000"/>
        </w:rPr>
        <w:br/>
      </w:r>
      <w:r>
        <w:rPr>
          <w:noProof/>
          <w:color w:val="000000"/>
        </w:rPr>
        <w:drawing>
          <wp:inline distT="19050" distB="19050" distL="19050" distR="19050" wp14:anchorId="58AC1531" wp14:editId="5CB5D7F6">
            <wp:extent cx="5905500" cy="458241"/>
            <wp:effectExtent l="0" t="0" r="0" b="0"/>
            <wp:docPr id="7"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1"/>
                    <a:srcRect/>
                    <a:stretch>
                      <a:fillRect/>
                    </a:stretch>
                  </pic:blipFill>
                  <pic:spPr>
                    <a:xfrm>
                      <a:off x="0" y="0"/>
                      <a:ext cx="5905500" cy="458241"/>
                    </a:xfrm>
                    <a:prstGeom prst="rect">
                      <a:avLst/>
                    </a:prstGeom>
                    <a:ln/>
                  </pic:spPr>
                </pic:pic>
              </a:graphicData>
            </a:graphic>
          </wp:inline>
        </w:drawing>
      </w:r>
      <w:r>
        <w:rPr>
          <w:color w:val="000000"/>
        </w:rPr>
        <w:br/>
      </w:r>
      <w:r>
        <w:rPr>
          <w:noProof/>
          <w:color w:val="000000"/>
        </w:rPr>
        <w:drawing>
          <wp:inline distT="19050" distB="19050" distL="19050" distR="19050" wp14:anchorId="472AD188" wp14:editId="50B52E17">
            <wp:extent cx="5905500" cy="458241"/>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2"/>
                    <a:srcRect/>
                    <a:stretch>
                      <a:fillRect/>
                    </a:stretch>
                  </pic:blipFill>
                  <pic:spPr>
                    <a:xfrm>
                      <a:off x="0" y="0"/>
                      <a:ext cx="5905500" cy="458241"/>
                    </a:xfrm>
                    <a:prstGeom prst="rect">
                      <a:avLst/>
                    </a:prstGeom>
                    <a:ln/>
                  </pic:spPr>
                </pic:pic>
              </a:graphicData>
            </a:graphic>
          </wp:inline>
        </w:drawing>
      </w:r>
    </w:p>
    <w:p w14:paraId="2FD973B1" w14:textId="77777777" w:rsidR="00AF5863" w:rsidRDefault="00000000">
      <w:pPr>
        <w:pStyle w:val="Heading2"/>
        <w:spacing w:before="240" w:after="120" w:line="275" w:lineRule="auto"/>
        <w:rPr>
          <w:color w:val="1F1F1F"/>
        </w:rPr>
      </w:pPr>
      <w:r>
        <w:rPr>
          <w:color w:val="1F1F1F"/>
        </w:rPr>
        <w:t>Literature Review of Key Research Papers</w:t>
      </w:r>
    </w:p>
    <w:p w14:paraId="44381096" w14:textId="77777777" w:rsidR="00AF5863" w:rsidRDefault="00000000">
      <w:pPr>
        <w:pBdr>
          <w:top w:val="nil"/>
          <w:left w:val="nil"/>
          <w:bottom w:val="nil"/>
          <w:right w:val="nil"/>
          <w:between w:val="nil"/>
        </w:pBdr>
        <w:spacing w:after="150" w:line="275" w:lineRule="auto"/>
        <w:rPr>
          <w:color w:val="1F1F1F"/>
        </w:rPr>
      </w:pPr>
      <w:r>
        <w:rPr>
          <w:color w:val="1F1F1F"/>
        </w:rPr>
        <w:t xml:space="preserve">The following table reviews 20 seminal research papers contributing to health prediction and </w:t>
      </w:r>
      <w:r>
        <w:rPr>
          <w:color w:val="1F1F1F"/>
        </w:rPr>
        <w:lastRenderedPageBreak/>
        <w:t>EOL decision frameworks for EV batteries.</w:t>
      </w:r>
    </w:p>
    <w:p w14:paraId="35E128AE" w14:textId="77777777" w:rsidR="00AF5863" w:rsidRDefault="00AF5863">
      <w:pPr>
        <w:pBdr>
          <w:top w:val="nil"/>
          <w:left w:val="nil"/>
          <w:bottom w:val="nil"/>
          <w:right w:val="nil"/>
          <w:between w:val="nil"/>
        </w:pBdr>
        <w:spacing w:line="275" w:lineRule="auto"/>
        <w:rPr>
          <w:color w:val="1F1F1F"/>
        </w:rPr>
      </w:pPr>
    </w:p>
    <w:tbl>
      <w:tblPr>
        <w:tblStyle w:val="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AF5863" w14:paraId="5B340D60"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9E25B0D" w14:textId="77777777" w:rsidR="00AF5863" w:rsidRDefault="00000000">
            <w:pPr>
              <w:pBdr>
                <w:top w:val="nil"/>
                <w:left w:val="nil"/>
                <w:bottom w:val="nil"/>
                <w:right w:val="nil"/>
                <w:between w:val="nil"/>
              </w:pBdr>
              <w:spacing w:before="120" w:after="120" w:line="275" w:lineRule="auto"/>
              <w:rPr>
                <w:b/>
                <w:bCs/>
                <w:color w:val="1F1F1F"/>
              </w:rPr>
            </w:pPr>
            <w:r>
              <w:rPr>
                <w:b/>
                <w:bCs/>
                <w:color w:val="1F1F1F"/>
              </w:rPr>
              <w:t>Reference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BCBD246" w14:textId="77777777" w:rsidR="00AF5863" w:rsidRDefault="00000000">
            <w:pPr>
              <w:pBdr>
                <w:top w:val="nil"/>
                <w:left w:val="nil"/>
                <w:bottom w:val="nil"/>
                <w:right w:val="nil"/>
                <w:between w:val="nil"/>
              </w:pBdr>
              <w:spacing w:before="120" w:after="120" w:line="275" w:lineRule="auto"/>
              <w:rPr>
                <w:b/>
                <w:bCs/>
                <w:color w:val="1F1F1F"/>
              </w:rPr>
            </w:pPr>
            <w:r>
              <w:rPr>
                <w:b/>
                <w:bCs/>
                <w:color w:val="1F1F1F"/>
              </w:rPr>
              <w:t>Year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4E8505" w14:textId="77777777" w:rsidR="00AF5863" w:rsidRDefault="00000000">
            <w:pPr>
              <w:pBdr>
                <w:top w:val="nil"/>
                <w:left w:val="nil"/>
                <w:bottom w:val="nil"/>
                <w:right w:val="nil"/>
                <w:between w:val="nil"/>
              </w:pBdr>
              <w:spacing w:before="120" w:after="120" w:line="275" w:lineRule="auto"/>
              <w:rPr>
                <w:b/>
                <w:bCs/>
                <w:color w:val="1F1F1F"/>
              </w:rPr>
            </w:pPr>
            <w:r>
              <w:rPr>
                <w:b/>
                <w:bCs/>
                <w:color w:val="1F1F1F"/>
              </w:rPr>
              <w:t>Models Used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051F67E" w14:textId="77777777" w:rsidR="00AF5863" w:rsidRDefault="00000000">
            <w:pPr>
              <w:pBdr>
                <w:top w:val="nil"/>
                <w:left w:val="nil"/>
                <w:bottom w:val="nil"/>
                <w:right w:val="nil"/>
                <w:between w:val="nil"/>
              </w:pBdr>
              <w:spacing w:before="120" w:after="120" w:line="275" w:lineRule="auto"/>
              <w:rPr>
                <w:b/>
                <w:bCs/>
                <w:color w:val="1F1F1F"/>
              </w:rPr>
            </w:pPr>
            <w:r>
              <w:rPr>
                <w:b/>
                <w:bCs/>
                <w:color w:val="1F1F1F"/>
              </w:rPr>
              <w:t>Features Extracted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6A2C58" w14:textId="77777777" w:rsidR="00AF5863" w:rsidRDefault="00000000">
            <w:pPr>
              <w:pBdr>
                <w:top w:val="nil"/>
                <w:left w:val="nil"/>
                <w:bottom w:val="nil"/>
                <w:right w:val="nil"/>
                <w:between w:val="nil"/>
              </w:pBdr>
              <w:spacing w:before="120" w:after="120" w:line="275" w:lineRule="auto"/>
              <w:rPr>
                <w:b/>
                <w:bCs/>
                <w:color w:val="1F1F1F"/>
              </w:rPr>
            </w:pPr>
            <w:r>
              <w:rPr>
                <w:b/>
                <w:bCs/>
                <w:color w:val="1F1F1F"/>
              </w:rPr>
              <w:t>Results/Metrics</w:t>
            </w:r>
          </w:p>
        </w:tc>
      </w:tr>
      <w:tr w:rsidR="00AF5863" w14:paraId="605A990F"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6F1FACE" w14:textId="77777777" w:rsidR="00AF5863" w:rsidRDefault="00000000">
            <w:pPr>
              <w:pBdr>
                <w:top w:val="nil"/>
                <w:left w:val="nil"/>
                <w:bottom w:val="nil"/>
                <w:right w:val="nil"/>
                <w:between w:val="nil"/>
              </w:pBdr>
              <w:spacing w:line="275" w:lineRule="auto"/>
              <w:rPr>
                <w:color w:val="444746"/>
                <w:sz w:val="24"/>
                <w:szCs w:val="24"/>
                <w:vertAlign w:val="superscript"/>
              </w:rPr>
            </w:pPr>
            <w:r>
              <w:rPr>
                <w:b/>
                <w:bCs/>
                <w:color w:val="1F1F1F"/>
              </w:rPr>
              <w:t>Singh et al.</w:t>
            </w:r>
            <w:r>
              <w:rPr>
                <w:color w:val="1F1F1F"/>
              </w:rPr>
              <w:t xml:space="preserve"> </w:t>
            </w:r>
            <w:r>
              <w:rPr>
                <w:color w:val="444746"/>
                <w:sz w:val="24"/>
                <w:szCs w:val="24"/>
                <w:vertAlign w:val="superscript"/>
              </w:rPr>
              <w:t>15</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C2FB65C" w14:textId="77777777" w:rsidR="00AF5863" w:rsidRDefault="00000000">
            <w:pPr>
              <w:pBdr>
                <w:top w:val="nil"/>
                <w:left w:val="nil"/>
                <w:bottom w:val="nil"/>
                <w:right w:val="nil"/>
                <w:between w:val="nil"/>
              </w:pBdr>
              <w:spacing w:before="120" w:after="120" w:line="275" w:lineRule="auto"/>
              <w:rPr>
                <w:color w:val="1F1F1F"/>
              </w:rPr>
            </w:pPr>
            <w:r>
              <w:rPr>
                <w:color w:val="1F1F1F"/>
              </w:rPr>
              <w:t>2025</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D73B520" w14:textId="77777777" w:rsidR="00AF5863" w:rsidRDefault="00000000">
            <w:pPr>
              <w:pBdr>
                <w:top w:val="nil"/>
                <w:left w:val="nil"/>
                <w:bottom w:val="nil"/>
                <w:right w:val="nil"/>
                <w:between w:val="nil"/>
              </w:pBdr>
              <w:spacing w:before="120" w:after="120" w:line="275" w:lineRule="auto"/>
              <w:rPr>
                <w:color w:val="1F1F1F"/>
              </w:rPr>
            </w:pPr>
            <w:proofErr w:type="spellStart"/>
            <w:r>
              <w:rPr>
                <w:color w:val="1F1F1F"/>
              </w:rPr>
              <w:t>OptiCNN</w:t>
            </w:r>
            <w:proofErr w:type="spellEnd"/>
            <w:r>
              <w:rPr>
                <w:color w:val="1F1F1F"/>
              </w:rPr>
              <w:t>-SLSTM</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AF84DF7" w14:textId="77777777" w:rsidR="00AF5863" w:rsidRDefault="00000000">
            <w:pPr>
              <w:pBdr>
                <w:top w:val="nil"/>
                <w:left w:val="nil"/>
                <w:bottom w:val="nil"/>
                <w:right w:val="nil"/>
                <w:between w:val="nil"/>
              </w:pBdr>
              <w:spacing w:before="120" w:after="120" w:line="275" w:lineRule="auto"/>
              <w:rPr>
                <w:color w:val="1F1F1F"/>
              </w:rPr>
            </w:pPr>
            <w:r>
              <w:rPr>
                <w:color w:val="1F1F1F"/>
              </w:rPr>
              <w:t>QC, IR, Temperature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2D3BF32" w14:textId="77777777" w:rsidR="00AF5863" w:rsidRDefault="00000000">
            <w:pPr>
              <w:pBdr>
                <w:top w:val="nil"/>
                <w:left w:val="nil"/>
                <w:bottom w:val="nil"/>
                <w:right w:val="nil"/>
                <w:between w:val="nil"/>
              </w:pBdr>
              <w:spacing w:before="120" w:after="120" w:line="275" w:lineRule="auto"/>
              <w:rPr>
                <w:color w:val="1F1F1F"/>
              </w:rPr>
            </w:pPr>
            <w:r>
              <w:rPr>
                <w:color w:val="1F1F1F"/>
              </w:rPr>
              <w:t>Oxford RMSE: 0.67%.</w:t>
            </w:r>
          </w:p>
        </w:tc>
      </w:tr>
      <w:tr w:rsidR="00AF5863" w14:paraId="746D155F"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EAEC1A0" w14:textId="77777777" w:rsidR="00AF5863" w:rsidRDefault="00000000">
            <w:pPr>
              <w:pBdr>
                <w:top w:val="nil"/>
                <w:left w:val="nil"/>
                <w:bottom w:val="nil"/>
                <w:right w:val="nil"/>
                <w:between w:val="nil"/>
              </w:pBdr>
              <w:spacing w:line="275" w:lineRule="auto"/>
              <w:rPr>
                <w:color w:val="444746"/>
                <w:sz w:val="24"/>
                <w:szCs w:val="24"/>
                <w:vertAlign w:val="superscript"/>
              </w:rPr>
            </w:pPr>
            <w:r>
              <w:rPr>
                <w:b/>
                <w:bCs/>
                <w:color w:val="1F1F1F"/>
              </w:rPr>
              <w:t>Liu et al.</w:t>
            </w:r>
            <w:r>
              <w:rPr>
                <w:color w:val="1F1F1F"/>
              </w:rPr>
              <w:t xml:space="preserve"> </w:t>
            </w:r>
            <w:r>
              <w:rPr>
                <w:color w:val="444746"/>
                <w:sz w:val="24"/>
                <w:szCs w:val="24"/>
                <w:vertAlign w:val="superscript"/>
              </w:rPr>
              <w:t>16</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146BD30" w14:textId="77777777" w:rsidR="00AF5863" w:rsidRDefault="00000000">
            <w:pPr>
              <w:pBdr>
                <w:top w:val="nil"/>
                <w:left w:val="nil"/>
                <w:bottom w:val="nil"/>
                <w:right w:val="nil"/>
                <w:between w:val="nil"/>
              </w:pBdr>
              <w:spacing w:before="120" w:after="120" w:line="275" w:lineRule="auto"/>
              <w:rPr>
                <w:color w:val="1F1F1F"/>
              </w:rPr>
            </w:pPr>
            <w:r>
              <w:rPr>
                <w:color w:val="1F1F1F"/>
              </w:rPr>
              <w:t>2026</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D4BEC4" w14:textId="77777777" w:rsidR="00AF5863" w:rsidRDefault="00000000">
            <w:pPr>
              <w:pBdr>
                <w:top w:val="nil"/>
                <w:left w:val="nil"/>
                <w:bottom w:val="nil"/>
                <w:right w:val="nil"/>
                <w:between w:val="nil"/>
              </w:pBdr>
              <w:spacing w:before="120" w:after="120" w:line="275" w:lineRule="auto"/>
              <w:rPr>
                <w:color w:val="1F1F1F"/>
              </w:rPr>
            </w:pPr>
            <w:proofErr w:type="spellStart"/>
            <w:r>
              <w:rPr>
                <w:color w:val="1F1F1F"/>
              </w:rPr>
              <w:t>FourierGNN</w:t>
            </w:r>
            <w:proofErr w:type="spellEnd"/>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A7475D" w14:textId="77777777" w:rsidR="00AF5863" w:rsidRDefault="00000000">
            <w:pPr>
              <w:pBdr>
                <w:top w:val="nil"/>
                <w:left w:val="nil"/>
                <w:bottom w:val="nil"/>
                <w:right w:val="nil"/>
                <w:between w:val="nil"/>
              </w:pBdr>
              <w:spacing w:before="120" w:after="120" w:line="275" w:lineRule="auto"/>
              <w:rPr>
                <w:color w:val="1F1F1F"/>
              </w:rPr>
            </w:pPr>
            <w:proofErr w:type="spellStart"/>
            <w:r>
              <w:rPr>
                <w:color w:val="1F1F1F"/>
              </w:rPr>
              <w:t>Spatio</w:t>
            </w:r>
            <w:proofErr w:type="spellEnd"/>
            <w:r>
              <w:rPr>
                <w:color w:val="1F1F1F"/>
              </w:rPr>
              <w:t>-Temporal features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696C4F" w14:textId="77777777" w:rsidR="00AF5863" w:rsidRDefault="00000000">
            <w:pPr>
              <w:pBdr>
                <w:top w:val="nil"/>
                <w:left w:val="nil"/>
                <w:bottom w:val="nil"/>
                <w:right w:val="nil"/>
                <w:between w:val="nil"/>
              </w:pBdr>
              <w:spacing w:line="275" w:lineRule="auto"/>
              <w:rPr>
                <w:color w:val="444746"/>
                <w:sz w:val="24"/>
                <w:szCs w:val="24"/>
                <w:vertAlign w:val="superscript"/>
              </w:rPr>
            </w:pPr>
            <w:r>
              <w:rPr>
                <w:color w:val="1F1F1F"/>
              </w:rPr>
              <w:t>NASA B5 RMSE reduction: 52%.</w:t>
            </w:r>
            <w:r>
              <w:rPr>
                <w:color w:val="444746"/>
                <w:sz w:val="24"/>
                <w:szCs w:val="24"/>
                <w:vertAlign w:val="superscript"/>
              </w:rPr>
              <w:t>16</w:t>
            </w:r>
          </w:p>
        </w:tc>
      </w:tr>
      <w:tr w:rsidR="00AF5863" w14:paraId="74262D44"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7D9D553" w14:textId="77777777" w:rsidR="00AF5863" w:rsidRDefault="00000000">
            <w:pPr>
              <w:pBdr>
                <w:top w:val="nil"/>
                <w:left w:val="nil"/>
                <w:bottom w:val="nil"/>
                <w:right w:val="nil"/>
                <w:between w:val="nil"/>
              </w:pBdr>
              <w:spacing w:line="275" w:lineRule="auto"/>
              <w:rPr>
                <w:color w:val="444746"/>
                <w:sz w:val="24"/>
                <w:szCs w:val="24"/>
                <w:vertAlign w:val="superscript"/>
              </w:rPr>
            </w:pPr>
            <w:r>
              <w:rPr>
                <w:b/>
                <w:bCs/>
                <w:color w:val="1F1F1F"/>
              </w:rPr>
              <w:t>Gu et al.</w:t>
            </w:r>
            <w:r>
              <w:rPr>
                <w:color w:val="1F1F1F"/>
              </w:rPr>
              <w:t xml:space="preserve"> </w:t>
            </w:r>
            <w:r>
              <w:rPr>
                <w:color w:val="444746"/>
                <w:sz w:val="24"/>
                <w:szCs w:val="24"/>
                <w:vertAlign w:val="superscript"/>
              </w:rPr>
              <w:t>17</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AD995B7" w14:textId="77777777" w:rsidR="00AF5863" w:rsidRDefault="00000000">
            <w:pPr>
              <w:pBdr>
                <w:top w:val="nil"/>
                <w:left w:val="nil"/>
                <w:bottom w:val="nil"/>
                <w:right w:val="nil"/>
                <w:between w:val="nil"/>
              </w:pBdr>
              <w:spacing w:before="120" w:after="120" w:line="275" w:lineRule="auto"/>
              <w:rPr>
                <w:color w:val="1F1F1F"/>
              </w:rPr>
            </w:pPr>
            <w:r>
              <w:rPr>
                <w:color w:val="1F1F1F"/>
              </w:rPr>
              <w:t>2025</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5148AD" w14:textId="77777777" w:rsidR="00AF5863" w:rsidRDefault="00000000">
            <w:pPr>
              <w:pBdr>
                <w:top w:val="nil"/>
                <w:left w:val="nil"/>
                <w:bottom w:val="nil"/>
                <w:right w:val="nil"/>
                <w:between w:val="nil"/>
              </w:pBdr>
              <w:spacing w:before="120" w:after="120" w:line="275" w:lineRule="auto"/>
              <w:rPr>
                <w:color w:val="1F1F1F"/>
              </w:rPr>
            </w:pPr>
            <w:proofErr w:type="spellStart"/>
            <w:r>
              <w:rPr>
                <w:color w:val="1F1F1F"/>
              </w:rPr>
              <w:t>DynaGPNN</w:t>
            </w:r>
            <w:proofErr w:type="spellEnd"/>
            <w:r>
              <w:rPr>
                <w:color w:val="1F1F1F"/>
              </w:rPr>
              <w:t>-SAM</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15DDB5B" w14:textId="77777777" w:rsidR="00AF5863" w:rsidRDefault="00000000">
            <w:pPr>
              <w:pBdr>
                <w:top w:val="nil"/>
                <w:left w:val="nil"/>
                <w:bottom w:val="nil"/>
                <w:right w:val="nil"/>
                <w:between w:val="nil"/>
              </w:pBdr>
              <w:spacing w:before="120" w:after="120" w:line="275" w:lineRule="auto"/>
              <w:rPr>
                <w:color w:val="1F1F1F"/>
              </w:rPr>
            </w:pPr>
            <w:r>
              <w:rPr>
                <w:color w:val="1F1F1F"/>
              </w:rPr>
              <w:t>Relational Topology</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B508FA" w14:textId="77777777" w:rsidR="00AF5863" w:rsidRDefault="00000000">
            <w:pPr>
              <w:pBdr>
                <w:top w:val="nil"/>
                <w:left w:val="nil"/>
                <w:bottom w:val="nil"/>
                <w:right w:val="nil"/>
                <w:between w:val="nil"/>
              </w:pBdr>
              <w:spacing w:line="275" w:lineRule="auto"/>
              <w:rPr>
                <w:color w:val="444746"/>
                <w:sz w:val="24"/>
                <w:szCs w:val="24"/>
                <w:vertAlign w:val="superscript"/>
              </w:rPr>
            </w:pPr>
            <w:r>
              <w:rPr>
                <w:color w:val="1F1F1F"/>
              </w:rPr>
              <w:t>B0005 RMSE: 0.0104.</w:t>
            </w:r>
            <w:r>
              <w:rPr>
                <w:color w:val="444746"/>
                <w:sz w:val="24"/>
                <w:szCs w:val="24"/>
                <w:vertAlign w:val="superscript"/>
              </w:rPr>
              <w:t>17</w:t>
            </w:r>
          </w:p>
        </w:tc>
      </w:tr>
      <w:tr w:rsidR="00AF5863" w14:paraId="1C5F197A"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7A390B9" w14:textId="77777777" w:rsidR="00AF5863" w:rsidRDefault="00000000">
            <w:pPr>
              <w:pBdr>
                <w:top w:val="nil"/>
                <w:left w:val="nil"/>
                <w:bottom w:val="nil"/>
                <w:right w:val="nil"/>
                <w:between w:val="nil"/>
              </w:pBdr>
              <w:spacing w:line="275" w:lineRule="auto"/>
              <w:rPr>
                <w:color w:val="444746"/>
                <w:sz w:val="24"/>
                <w:szCs w:val="24"/>
                <w:vertAlign w:val="superscript"/>
              </w:rPr>
            </w:pPr>
            <w:r>
              <w:rPr>
                <w:b/>
                <w:bCs/>
                <w:color w:val="1F1F1F"/>
              </w:rPr>
              <w:t>Nie et al.</w:t>
            </w:r>
            <w:r>
              <w:rPr>
                <w:color w:val="1F1F1F"/>
              </w:rPr>
              <w:t xml:space="preserve"> </w:t>
            </w:r>
            <w:r>
              <w:rPr>
                <w:color w:val="444746"/>
                <w:sz w:val="24"/>
                <w:szCs w:val="24"/>
                <w:vertAlign w:val="superscript"/>
              </w:rPr>
              <w:t>18</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8F3EF2F" w14:textId="77777777" w:rsidR="00AF5863" w:rsidRDefault="00000000">
            <w:pPr>
              <w:pBdr>
                <w:top w:val="nil"/>
                <w:left w:val="nil"/>
                <w:bottom w:val="nil"/>
                <w:right w:val="nil"/>
                <w:between w:val="nil"/>
              </w:pBdr>
              <w:spacing w:before="120" w:after="120" w:line="275" w:lineRule="auto"/>
              <w:rPr>
                <w:color w:val="1F1F1F"/>
              </w:rPr>
            </w:pPr>
            <w:r>
              <w:rPr>
                <w:color w:val="1F1F1F"/>
              </w:rPr>
              <w:t>2026</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12BC028" w14:textId="77777777" w:rsidR="00AF5863" w:rsidRDefault="00000000">
            <w:pPr>
              <w:pBdr>
                <w:top w:val="nil"/>
                <w:left w:val="nil"/>
                <w:bottom w:val="nil"/>
                <w:right w:val="nil"/>
                <w:between w:val="nil"/>
              </w:pBdr>
              <w:spacing w:before="120" w:after="120" w:line="275" w:lineRule="auto"/>
              <w:rPr>
                <w:color w:val="1F1F1F"/>
              </w:rPr>
            </w:pPr>
            <w:r>
              <w:rPr>
                <w:color w:val="1F1F1F"/>
              </w:rPr>
              <w:t>GRU-Transformer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6778F75" w14:textId="77777777" w:rsidR="00AF5863" w:rsidRDefault="00000000">
            <w:pPr>
              <w:pBdr>
                <w:top w:val="nil"/>
                <w:left w:val="nil"/>
                <w:bottom w:val="nil"/>
                <w:right w:val="nil"/>
                <w:between w:val="nil"/>
              </w:pBdr>
              <w:spacing w:before="120" w:after="120" w:line="275" w:lineRule="auto"/>
              <w:rPr>
                <w:color w:val="1F1F1F"/>
              </w:rPr>
            </w:pPr>
            <w:r>
              <w:rPr>
                <w:color w:val="1F1F1F"/>
              </w:rPr>
              <w:t>Temporal + Physics Priors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C73593" w14:textId="77777777" w:rsidR="00AF5863" w:rsidRDefault="00000000">
            <w:pPr>
              <w:pBdr>
                <w:top w:val="nil"/>
                <w:left w:val="nil"/>
                <w:bottom w:val="nil"/>
                <w:right w:val="nil"/>
                <w:between w:val="nil"/>
              </w:pBdr>
              <w:spacing w:line="275" w:lineRule="auto"/>
              <w:rPr>
                <w:color w:val="444746"/>
                <w:sz w:val="24"/>
                <w:szCs w:val="24"/>
                <w:vertAlign w:val="superscript"/>
              </w:rPr>
            </w:pPr>
            <w:r>
              <w:rPr>
                <w:color w:val="1F1F1F"/>
              </w:rPr>
              <w:t>MAE &lt; 1.3% (5-shot).</w:t>
            </w:r>
            <w:r>
              <w:rPr>
                <w:color w:val="444746"/>
                <w:sz w:val="24"/>
                <w:szCs w:val="24"/>
                <w:vertAlign w:val="superscript"/>
              </w:rPr>
              <w:t>18</w:t>
            </w:r>
          </w:p>
        </w:tc>
      </w:tr>
      <w:tr w:rsidR="00AF5863" w14:paraId="2EA9EE3B"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7612555" w14:textId="77777777" w:rsidR="00AF5863" w:rsidRDefault="00000000">
            <w:pPr>
              <w:pBdr>
                <w:top w:val="nil"/>
                <w:left w:val="nil"/>
                <w:bottom w:val="nil"/>
                <w:right w:val="nil"/>
                <w:between w:val="nil"/>
              </w:pBdr>
              <w:spacing w:line="275" w:lineRule="auto"/>
              <w:rPr>
                <w:color w:val="444746"/>
                <w:sz w:val="24"/>
                <w:szCs w:val="24"/>
                <w:vertAlign w:val="superscript"/>
              </w:rPr>
            </w:pPr>
            <w:r>
              <w:rPr>
                <w:b/>
                <w:bCs/>
                <w:color w:val="1F1F1F"/>
              </w:rPr>
              <w:t>Xu et al.</w:t>
            </w:r>
            <w:r>
              <w:rPr>
                <w:color w:val="1F1F1F"/>
              </w:rPr>
              <w:t xml:space="preserve"> </w:t>
            </w:r>
            <w:r>
              <w:rPr>
                <w:color w:val="444746"/>
                <w:sz w:val="24"/>
                <w:szCs w:val="24"/>
                <w:vertAlign w:val="superscript"/>
              </w:rPr>
              <w:t>9</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4E1D059" w14:textId="77777777" w:rsidR="00AF5863" w:rsidRDefault="00000000">
            <w:pPr>
              <w:pBdr>
                <w:top w:val="nil"/>
                <w:left w:val="nil"/>
                <w:bottom w:val="nil"/>
                <w:right w:val="nil"/>
                <w:between w:val="nil"/>
              </w:pBdr>
              <w:spacing w:before="120" w:after="120" w:line="275" w:lineRule="auto"/>
              <w:rPr>
                <w:color w:val="1F1F1F"/>
              </w:rPr>
            </w:pPr>
            <w:r>
              <w:rPr>
                <w:color w:val="1F1F1F"/>
              </w:rPr>
              <w:t>2024</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602AF16" w14:textId="77777777" w:rsidR="00AF5863" w:rsidRDefault="00000000">
            <w:pPr>
              <w:pBdr>
                <w:top w:val="nil"/>
                <w:left w:val="nil"/>
                <w:bottom w:val="nil"/>
                <w:right w:val="nil"/>
                <w:between w:val="nil"/>
              </w:pBdr>
              <w:spacing w:before="120" w:after="120" w:line="275" w:lineRule="auto"/>
              <w:rPr>
                <w:color w:val="1F1F1F"/>
              </w:rPr>
            </w:pPr>
            <w:proofErr w:type="spellStart"/>
            <w:r>
              <w:rPr>
                <w:color w:val="1F1F1F"/>
              </w:rPr>
              <w:t>SGEformer</w:t>
            </w:r>
            <w:proofErr w:type="spellEnd"/>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003C725" w14:textId="77777777" w:rsidR="00AF5863" w:rsidRDefault="00000000">
            <w:pPr>
              <w:pBdr>
                <w:top w:val="nil"/>
                <w:left w:val="nil"/>
                <w:bottom w:val="nil"/>
                <w:right w:val="nil"/>
                <w:between w:val="nil"/>
              </w:pBdr>
              <w:spacing w:before="120" w:after="120" w:line="275" w:lineRule="auto"/>
              <w:rPr>
                <w:color w:val="1F1F1F"/>
              </w:rPr>
            </w:pPr>
            <w:r>
              <w:rPr>
                <w:color w:val="1F1F1F"/>
              </w:rPr>
              <w:t>IC Analysis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BFB9C59" w14:textId="77777777" w:rsidR="00AF5863" w:rsidRDefault="00000000">
            <w:pPr>
              <w:pBdr>
                <w:top w:val="nil"/>
                <w:left w:val="nil"/>
                <w:bottom w:val="nil"/>
                <w:right w:val="nil"/>
                <w:between w:val="nil"/>
              </w:pBdr>
              <w:spacing w:line="275" w:lineRule="auto"/>
              <w:rPr>
                <w:color w:val="444746"/>
                <w:sz w:val="24"/>
                <w:szCs w:val="24"/>
                <w:vertAlign w:val="superscript"/>
              </w:rPr>
            </w:pPr>
            <w:r>
              <w:rPr>
                <w:color w:val="1F1F1F"/>
              </w:rPr>
              <w:t>NASA MAE: 0.01%.</w:t>
            </w:r>
            <w:r>
              <w:rPr>
                <w:color w:val="444746"/>
                <w:sz w:val="24"/>
                <w:szCs w:val="24"/>
                <w:vertAlign w:val="superscript"/>
              </w:rPr>
              <w:t>9</w:t>
            </w:r>
          </w:p>
        </w:tc>
      </w:tr>
      <w:tr w:rsidR="00AF5863" w14:paraId="0EB22DC5"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825167D" w14:textId="77777777" w:rsidR="00AF5863" w:rsidRDefault="00000000">
            <w:pPr>
              <w:pBdr>
                <w:top w:val="nil"/>
                <w:left w:val="nil"/>
                <w:bottom w:val="nil"/>
                <w:right w:val="nil"/>
                <w:between w:val="nil"/>
              </w:pBdr>
              <w:spacing w:line="275" w:lineRule="auto"/>
              <w:rPr>
                <w:color w:val="444746"/>
                <w:sz w:val="24"/>
                <w:szCs w:val="24"/>
                <w:vertAlign w:val="superscript"/>
              </w:rPr>
            </w:pPr>
            <w:r>
              <w:rPr>
                <w:b/>
                <w:bCs/>
                <w:color w:val="1F1F1F"/>
              </w:rPr>
              <w:t>Wu et al.</w:t>
            </w:r>
            <w:r>
              <w:rPr>
                <w:color w:val="1F1F1F"/>
              </w:rPr>
              <w:t xml:space="preserve"> </w:t>
            </w:r>
            <w:r>
              <w:rPr>
                <w:color w:val="444746"/>
                <w:sz w:val="24"/>
                <w:szCs w:val="24"/>
                <w:vertAlign w:val="superscript"/>
              </w:rPr>
              <w:t>15</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1DC9712" w14:textId="77777777" w:rsidR="00AF5863" w:rsidRDefault="00000000">
            <w:pPr>
              <w:pBdr>
                <w:top w:val="nil"/>
                <w:left w:val="nil"/>
                <w:bottom w:val="nil"/>
                <w:right w:val="nil"/>
                <w:between w:val="nil"/>
              </w:pBdr>
              <w:spacing w:before="120" w:after="120" w:line="275" w:lineRule="auto"/>
              <w:rPr>
                <w:color w:val="1F1F1F"/>
              </w:rPr>
            </w:pPr>
            <w:r>
              <w:rPr>
                <w:color w:val="1F1F1F"/>
              </w:rPr>
              <w:t>2025</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69C6954" w14:textId="77777777" w:rsidR="00AF5863" w:rsidRDefault="00000000">
            <w:pPr>
              <w:pBdr>
                <w:top w:val="nil"/>
                <w:left w:val="nil"/>
                <w:bottom w:val="nil"/>
                <w:right w:val="nil"/>
                <w:between w:val="nil"/>
              </w:pBdr>
              <w:spacing w:before="120" w:after="120" w:line="275" w:lineRule="auto"/>
              <w:rPr>
                <w:color w:val="1F1F1F"/>
              </w:rPr>
            </w:pPr>
            <w:proofErr w:type="spellStart"/>
            <w:r>
              <w:rPr>
                <w:color w:val="1F1F1F"/>
              </w:rPr>
              <w:t>AttentiveLSTM</w:t>
            </w:r>
            <w:proofErr w:type="spellEnd"/>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81828D" w14:textId="77777777" w:rsidR="00AF5863" w:rsidRDefault="00000000">
            <w:pPr>
              <w:pBdr>
                <w:top w:val="nil"/>
                <w:left w:val="nil"/>
                <w:bottom w:val="nil"/>
                <w:right w:val="nil"/>
                <w:between w:val="nil"/>
              </w:pBdr>
              <w:spacing w:before="120" w:after="120" w:line="275" w:lineRule="auto"/>
              <w:rPr>
                <w:color w:val="1F1F1F"/>
              </w:rPr>
            </w:pPr>
            <w:r>
              <w:rPr>
                <w:color w:val="1F1F1F"/>
              </w:rPr>
              <w:t>Multi-Task SOH/RUL</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87A1631" w14:textId="77777777" w:rsidR="00AF5863" w:rsidRDefault="00000000">
            <w:pPr>
              <w:pBdr>
                <w:top w:val="nil"/>
                <w:left w:val="nil"/>
                <w:bottom w:val="nil"/>
                <w:right w:val="nil"/>
                <w:between w:val="nil"/>
              </w:pBdr>
              <w:spacing w:before="120" w:after="120" w:line="275" w:lineRule="auto"/>
              <w:rPr>
                <w:color w:val="1F1F1F"/>
              </w:rPr>
            </w:pPr>
            <w:r>
              <w:rPr>
                <w:color w:val="1F1F1F"/>
              </w:rPr>
              <w:t>Surpasses standalone models.</w:t>
            </w:r>
          </w:p>
        </w:tc>
      </w:tr>
      <w:tr w:rsidR="00AF5863" w14:paraId="4D1C2B66"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4929B7B" w14:textId="77777777" w:rsidR="00AF5863" w:rsidRDefault="00000000">
            <w:pPr>
              <w:pBdr>
                <w:top w:val="nil"/>
                <w:left w:val="nil"/>
                <w:bottom w:val="nil"/>
                <w:right w:val="nil"/>
                <w:between w:val="nil"/>
              </w:pBdr>
              <w:spacing w:line="275" w:lineRule="auto"/>
              <w:rPr>
                <w:color w:val="444746"/>
                <w:sz w:val="24"/>
                <w:szCs w:val="24"/>
                <w:vertAlign w:val="superscript"/>
              </w:rPr>
            </w:pPr>
            <w:r>
              <w:rPr>
                <w:b/>
                <w:bCs/>
                <w:color w:val="1F1F1F"/>
              </w:rPr>
              <w:t>Singh et al.</w:t>
            </w:r>
            <w:r>
              <w:rPr>
                <w:color w:val="1F1F1F"/>
              </w:rPr>
              <w:t xml:space="preserve"> </w:t>
            </w:r>
            <w:r>
              <w:rPr>
                <w:color w:val="444746"/>
                <w:sz w:val="24"/>
                <w:szCs w:val="24"/>
                <w:vertAlign w:val="superscript"/>
              </w:rPr>
              <w:t>15</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63B15F" w14:textId="77777777" w:rsidR="00AF5863" w:rsidRDefault="00000000">
            <w:pPr>
              <w:pBdr>
                <w:top w:val="nil"/>
                <w:left w:val="nil"/>
                <w:bottom w:val="nil"/>
                <w:right w:val="nil"/>
                <w:between w:val="nil"/>
              </w:pBdr>
              <w:spacing w:before="120" w:after="120" w:line="275" w:lineRule="auto"/>
              <w:rPr>
                <w:color w:val="1F1F1F"/>
              </w:rPr>
            </w:pPr>
            <w:r>
              <w:rPr>
                <w:color w:val="1F1F1F"/>
              </w:rPr>
              <w:t>2025</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69874BB" w14:textId="77777777" w:rsidR="00AF5863" w:rsidRDefault="00000000">
            <w:pPr>
              <w:pBdr>
                <w:top w:val="nil"/>
                <w:left w:val="nil"/>
                <w:bottom w:val="nil"/>
                <w:right w:val="nil"/>
                <w:between w:val="nil"/>
              </w:pBdr>
              <w:spacing w:before="120" w:after="120" w:line="275" w:lineRule="auto"/>
              <w:rPr>
                <w:color w:val="1F1F1F"/>
              </w:rPr>
            </w:pPr>
            <w:proofErr w:type="spellStart"/>
            <w:r>
              <w:rPr>
                <w:color w:val="1F1F1F"/>
              </w:rPr>
              <w:t>Opt</w:t>
            </w:r>
            <w:proofErr w:type="spellEnd"/>
            <w:r>
              <w:rPr>
                <w:color w:val="1F1F1F"/>
              </w:rPr>
              <w:t>-KAN-XAI</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1C3275D" w14:textId="77777777" w:rsidR="00AF5863" w:rsidRDefault="00000000">
            <w:pPr>
              <w:pBdr>
                <w:top w:val="nil"/>
                <w:left w:val="nil"/>
                <w:bottom w:val="nil"/>
                <w:right w:val="nil"/>
                <w:between w:val="nil"/>
              </w:pBdr>
              <w:spacing w:before="120" w:after="120" w:line="275" w:lineRule="auto"/>
              <w:rPr>
                <w:color w:val="1F1F1F"/>
              </w:rPr>
            </w:pPr>
            <w:r>
              <w:rPr>
                <w:color w:val="1F1F1F"/>
              </w:rPr>
              <w:t>V, I, T, Cycle Index</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6C9F72C" w14:textId="77777777" w:rsidR="00AF5863" w:rsidRDefault="00000000">
            <w:pPr>
              <w:pBdr>
                <w:top w:val="nil"/>
                <w:left w:val="nil"/>
                <w:bottom w:val="nil"/>
                <w:right w:val="nil"/>
                <w:between w:val="nil"/>
              </w:pBdr>
              <w:spacing w:before="120" w:after="120" w:line="275" w:lineRule="auto"/>
              <w:rPr>
                <w:color w:val="1F1F1F"/>
              </w:rPr>
            </w:pPr>
            <w:r>
              <w:rPr>
                <w:color w:val="1F1F1F"/>
              </w:rPr>
              <w:t>Robustness in rapid fading.</w:t>
            </w:r>
          </w:p>
        </w:tc>
      </w:tr>
      <w:tr w:rsidR="00AF5863" w14:paraId="631395EA"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B9CEC8" w14:textId="77777777" w:rsidR="00AF5863" w:rsidRDefault="00000000">
            <w:pPr>
              <w:pBdr>
                <w:top w:val="nil"/>
                <w:left w:val="nil"/>
                <w:bottom w:val="nil"/>
                <w:right w:val="nil"/>
                <w:between w:val="nil"/>
              </w:pBdr>
              <w:spacing w:line="275" w:lineRule="auto"/>
              <w:rPr>
                <w:color w:val="444746"/>
                <w:sz w:val="24"/>
                <w:szCs w:val="24"/>
                <w:vertAlign w:val="superscript"/>
              </w:rPr>
            </w:pPr>
            <w:r>
              <w:rPr>
                <w:b/>
                <w:bCs/>
                <w:color w:val="1F1F1F"/>
              </w:rPr>
              <w:t>Zeng &amp; Chu</w:t>
            </w:r>
            <w:r>
              <w:rPr>
                <w:color w:val="1F1F1F"/>
              </w:rPr>
              <w:t xml:space="preserve"> </w:t>
            </w:r>
            <w:r>
              <w:rPr>
                <w:color w:val="444746"/>
                <w:sz w:val="24"/>
                <w:szCs w:val="24"/>
                <w:vertAlign w:val="superscript"/>
              </w:rPr>
              <w:t>19</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F3EA99F" w14:textId="77777777" w:rsidR="00AF5863" w:rsidRDefault="00000000">
            <w:pPr>
              <w:pBdr>
                <w:top w:val="nil"/>
                <w:left w:val="nil"/>
                <w:bottom w:val="nil"/>
                <w:right w:val="nil"/>
                <w:between w:val="nil"/>
              </w:pBdr>
              <w:spacing w:before="120" w:after="120" w:line="275" w:lineRule="auto"/>
              <w:rPr>
                <w:color w:val="1F1F1F"/>
              </w:rPr>
            </w:pPr>
            <w:r>
              <w:rPr>
                <w:color w:val="1F1F1F"/>
              </w:rPr>
              <w:t>2025</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FDFFDE" w14:textId="77777777" w:rsidR="00AF5863" w:rsidRDefault="00000000">
            <w:pPr>
              <w:pBdr>
                <w:top w:val="nil"/>
                <w:left w:val="nil"/>
                <w:bottom w:val="nil"/>
                <w:right w:val="nil"/>
                <w:between w:val="nil"/>
              </w:pBdr>
              <w:spacing w:before="120" w:after="120" w:line="275" w:lineRule="auto"/>
              <w:rPr>
                <w:color w:val="1F1F1F"/>
              </w:rPr>
            </w:pPr>
            <w:r>
              <w:rPr>
                <w:color w:val="1F1F1F"/>
              </w:rPr>
              <w:t>Residual-aware STGNN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84DCFF3" w14:textId="77777777" w:rsidR="00AF5863" w:rsidRDefault="00000000">
            <w:pPr>
              <w:pBdr>
                <w:top w:val="nil"/>
                <w:left w:val="nil"/>
                <w:bottom w:val="nil"/>
                <w:right w:val="nil"/>
                <w:between w:val="nil"/>
              </w:pBdr>
              <w:spacing w:before="120" w:after="120" w:line="275" w:lineRule="auto"/>
              <w:rPr>
                <w:color w:val="1F1F1F"/>
              </w:rPr>
            </w:pPr>
            <w:r>
              <w:rPr>
                <w:color w:val="1F1F1F"/>
              </w:rPr>
              <w:t>SCADA Signals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C2F7120" w14:textId="77777777" w:rsidR="00AF5863" w:rsidRDefault="00000000">
            <w:pPr>
              <w:pBdr>
                <w:top w:val="nil"/>
                <w:left w:val="nil"/>
                <w:bottom w:val="nil"/>
                <w:right w:val="nil"/>
                <w:between w:val="nil"/>
              </w:pBdr>
              <w:spacing w:before="120" w:after="120" w:line="275" w:lineRule="auto"/>
              <w:rPr>
                <w:color w:val="1F1F1F"/>
              </w:rPr>
            </w:pPr>
            <w:r>
              <w:rPr>
                <w:color w:val="1F1F1F"/>
              </w:rPr>
              <w:t>Superior anomaly detection.</w:t>
            </w:r>
          </w:p>
        </w:tc>
      </w:tr>
      <w:tr w:rsidR="00AF5863" w14:paraId="56EB192B"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16B222E" w14:textId="77777777" w:rsidR="00AF5863" w:rsidRDefault="00000000">
            <w:pPr>
              <w:pBdr>
                <w:top w:val="nil"/>
                <w:left w:val="nil"/>
                <w:bottom w:val="nil"/>
                <w:right w:val="nil"/>
                <w:between w:val="nil"/>
              </w:pBdr>
              <w:spacing w:line="275" w:lineRule="auto"/>
              <w:rPr>
                <w:color w:val="444746"/>
                <w:sz w:val="24"/>
                <w:szCs w:val="24"/>
                <w:vertAlign w:val="superscript"/>
              </w:rPr>
            </w:pPr>
            <w:r>
              <w:rPr>
                <w:b/>
                <w:bCs/>
                <w:color w:val="1F1F1F"/>
              </w:rPr>
              <w:t>Singh et al.</w:t>
            </w:r>
            <w:r>
              <w:rPr>
                <w:color w:val="1F1F1F"/>
              </w:rPr>
              <w:t xml:space="preserve"> </w:t>
            </w:r>
            <w:r>
              <w:rPr>
                <w:color w:val="444746"/>
                <w:sz w:val="24"/>
                <w:szCs w:val="24"/>
                <w:vertAlign w:val="superscript"/>
              </w:rPr>
              <w:t>20</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0AEEF8" w14:textId="77777777" w:rsidR="00AF5863" w:rsidRDefault="00000000">
            <w:pPr>
              <w:pBdr>
                <w:top w:val="nil"/>
                <w:left w:val="nil"/>
                <w:bottom w:val="nil"/>
                <w:right w:val="nil"/>
                <w:between w:val="nil"/>
              </w:pBdr>
              <w:spacing w:before="120" w:after="120" w:line="275" w:lineRule="auto"/>
              <w:rPr>
                <w:color w:val="1F1F1F"/>
              </w:rPr>
            </w:pPr>
            <w:r>
              <w:rPr>
                <w:color w:val="1F1F1F"/>
              </w:rPr>
              <w:t>2026</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7E52AB" w14:textId="77777777" w:rsidR="00AF5863" w:rsidRDefault="00000000">
            <w:pPr>
              <w:pBdr>
                <w:top w:val="nil"/>
                <w:left w:val="nil"/>
                <w:bottom w:val="nil"/>
                <w:right w:val="nil"/>
                <w:between w:val="nil"/>
              </w:pBdr>
              <w:spacing w:before="120" w:after="120" w:line="275" w:lineRule="auto"/>
              <w:rPr>
                <w:color w:val="1F1F1F"/>
              </w:rPr>
            </w:pPr>
            <w:r>
              <w:rPr>
                <w:color w:val="1F1F1F"/>
              </w:rPr>
              <w:t>Transformer-KAN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53666C4" w14:textId="77777777" w:rsidR="00AF5863" w:rsidRDefault="00000000">
            <w:pPr>
              <w:pBdr>
                <w:top w:val="nil"/>
                <w:left w:val="nil"/>
                <w:bottom w:val="nil"/>
                <w:right w:val="nil"/>
                <w:between w:val="nil"/>
              </w:pBdr>
              <w:spacing w:before="120" w:after="120" w:line="275" w:lineRule="auto"/>
              <w:rPr>
                <w:color w:val="1F1F1F"/>
              </w:rPr>
            </w:pPr>
            <w:r>
              <w:rPr>
                <w:color w:val="1F1F1F"/>
              </w:rPr>
              <w:t>HF1–HF5</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113A01" w14:textId="77777777" w:rsidR="00AF5863" w:rsidRDefault="00000000">
            <w:pPr>
              <w:pBdr>
                <w:top w:val="nil"/>
                <w:left w:val="nil"/>
                <w:bottom w:val="nil"/>
                <w:right w:val="nil"/>
                <w:between w:val="nil"/>
              </w:pBdr>
              <w:spacing w:before="120" w:after="120" w:line="275" w:lineRule="auto"/>
              <w:rPr>
                <w:color w:val="1F1F1F"/>
              </w:rPr>
            </w:pPr>
            <w:r>
              <w:rPr>
                <w:color w:val="1F1F1F"/>
              </w:rPr>
              <w:t>20% RMSE improvement.</w:t>
            </w:r>
          </w:p>
        </w:tc>
      </w:tr>
      <w:tr w:rsidR="00AF5863" w14:paraId="431FDDB0"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4317A8A" w14:textId="77777777" w:rsidR="00AF5863" w:rsidRDefault="00000000">
            <w:pPr>
              <w:pBdr>
                <w:top w:val="nil"/>
                <w:left w:val="nil"/>
                <w:bottom w:val="nil"/>
                <w:right w:val="nil"/>
                <w:between w:val="nil"/>
              </w:pBdr>
              <w:spacing w:line="275" w:lineRule="auto"/>
              <w:rPr>
                <w:color w:val="444746"/>
                <w:sz w:val="24"/>
                <w:szCs w:val="24"/>
                <w:vertAlign w:val="superscript"/>
              </w:rPr>
            </w:pPr>
            <w:r>
              <w:rPr>
                <w:b/>
                <w:bCs/>
                <w:color w:val="1F1F1F"/>
              </w:rPr>
              <w:lastRenderedPageBreak/>
              <w:t>Sravanthi et al.</w:t>
            </w:r>
            <w:r>
              <w:rPr>
                <w:color w:val="1F1F1F"/>
              </w:rPr>
              <w:t xml:space="preserve"> </w:t>
            </w:r>
            <w:r>
              <w:rPr>
                <w:color w:val="444746"/>
                <w:sz w:val="24"/>
                <w:szCs w:val="24"/>
                <w:vertAlign w:val="superscript"/>
              </w:rPr>
              <w:t>21</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936B389" w14:textId="77777777" w:rsidR="00AF5863" w:rsidRDefault="00000000">
            <w:pPr>
              <w:pBdr>
                <w:top w:val="nil"/>
                <w:left w:val="nil"/>
                <w:bottom w:val="nil"/>
                <w:right w:val="nil"/>
                <w:between w:val="nil"/>
              </w:pBdr>
              <w:spacing w:before="120" w:after="120" w:line="275" w:lineRule="auto"/>
              <w:rPr>
                <w:color w:val="1F1F1F"/>
              </w:rPr>
            </w:pPr>
            <w:r>
              <w:rPr>
                <w:color w:val="1F1F1F"/>
              </w:rPr>
              <w:t>2024</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2925979" w14:textId="77777777" w:rsidR="00AF5863" w:rsidRDefault="00000000">
            <w:pPr>
              <w:pBdr>
                <w:top w:val="nil"/>
                <w:left w:val="nil"/>
                <w:bottom w:val="nil"/>
                <w:right w:val="nil"/>
                <w:between w:val="nil"/>
              </w:pBdr>
              <w:spacing w:before="120" w:after="120" w:line="275" w:lineRule="auto"/>
              <w:rPr>
                <w:color w:val="1F1F1F"/>
              </w:rPr>
            </w:pPr>
            <w:r>
              <w:rPr>
                <w:color w:val="1F1F1F"/>
              </w:rPr>
              <w:t>Ensemble Trees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7F5477" w14:textId="77777777" w:rsidR="00AF5863" w:rsidRDefault="00000000">
            <w:pPr>
              <w:pBdr>
                <w:top w:val="nil"/>
                <w:left w:val="nil"/>
                <w:bottom w:val="nil"/>
                <w:right w:val="nil"/>
                <w:between w:val="nil"/>
              </w:pBdr>
              <w:spacing w:before="120" w:after="120" w:line="275" w:lineRule="auto"/>
              <w:rPr>
                <w:color w:val="1F1F1F"/>
              </w:rPr>
            </w:pPr>
            <w:r>
              <w:rPr>
                <w:color w:val="1F1F1F"/>
              </w:rPr>
              <w:t>V, I, 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6D84D71" w14:textId="77777777" w:rsidR="00AF5863" w:rsidRDefault="00000000">
            <w:pPr>
              <w:pBdr>
                <w:top w:val="nil"/>
                <w:left w:val="nil"/>
                <w:bottom w:val="nil"/>
                <w:right w:val="nil"/>
                <w:between w:val="nil"/>
              </w:pBdr>
              <w:spacing w:before="120" w:after="120" w:line="275" w:lineRule="auto"/>
              <w:rPr>
                <w:color w:val="1F1F1F"/>
              </w:rPr>
            </w:pPr>
            <w:r>
              <w:rPr>
                <w:color w:val="1F1F1F"/>
              </w:rPr>
              <w:t>Improved stability/generalization.</w:t>
            </w:r>
          </w:p>
        </w:tc>
      </w:tr>
      <w:tr w:rsidR="00AF5863" w14:paraId="51FCB0D0"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8888985" w14:textId="77777777" w:rsidR="00AF5863" w:rsidRDefault="00000000">
            <w:pPr>
              <w:pBdr>
                <w:top w:val="nil"/>
                <w:left w:val="nil"/>
                <w:bottom w:val="nil"/>
                <w:right w:val="nil"/>
                <w:between w:val="nil"/>
              </w:pBdr>
              <w:spacing w:before="120" w:after="120" w:line="275" w:lineRule="auto"/>
              <w:rPr>
                <w:b/>
                <w:bCs/>
                <w:color w:val="1F1F1F"/>
              </w:rPr>
            </w:pPr>
            <w:r>
              <w:rPr>
                <w:b/>
                <w:bCs/>
                <w:color w:val="1F1F1F"/>
              </w:rPr>
              <w:t>Zhao Li et al.</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109253" w14:textId="77777777" w:rsidR="00AF5863" w:rsidRDefault="00000000">
            <w:pPr>
              <w:pBdr>
                <w:top w:val="nil"/>
                <w:left w:val="nil"/>
                <w:bottom w:val="nil"/>
                <w:right w:val="nil"/>
                <w:between w:val="nil"/>
              </w:pBdr>
              <w:spacing w:before="120" w:after="120" w:line="275" w:lineRule="auto"/>
              <w:rPr>
                <w:color w:val="1F1F1F"/>
              </w:rPr>
            </w:pPr>
            <w:r>
              <w:rPr>
                <w:color w:val="1F1F1F"/>
              </w:rPr>
              <w:t>2026</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BCA6048" w14:textId="77777777" w:rsidR="00AF5863" w:rsidRDefault="00000000">
            <w:pPr>
              <w:pBdr>
                <w:top w:val="nil"/>
                <w:left w:val="nil"/>
                <w:bottom w:val="nil"/>
                <w:right w:val="nil"/>
                <w:between w:val="nil"/>
              </w:pBdr>
              <w:spacing w:before="120" w:after="120" w:line="275" w:lineRule="auto"/>
              <w:rPr>
                <w:color w:val="1F1F1F"/>
              </w:rPr>
            </w:pPr>
            <w:proofErr w:type="spellStart"/>
            <w:r>
              <w:rPr>
                <w:color w:val="1F1F1F"/>
              </w:rPr>
              <w:t>LiBrain</w:t>
            </w:r>
            <w:proofErr w:type="spellEnd"/>
            <w:r>
              <w:rPr>
                <w:color w:val="1F1F1F"/>
              </w:rPr>
              <w:t xml:space="preserve"> (LLM-RAG)</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DDC73BC" w14:textId="77777777" w:rsidR="00AF5863" w:rsidRDefault="00000000">
            <w:pPr>
              <w:pBdr>
                <w:top w:val="nil"/>
                <w:left w:val="nil"/>
                <w:bottom w:val="nil"/>
                <w:right w:val="nil"/>
                <w:between w:val="nil"/>
              </w:pBdr>
              <w:spacing w:before="120" w:after="120" w:line="275" w:lineRule="auto"/>
              <w:rPr>
                <w:color w:val="1F1F1F"/>
              </w:rPr>
            </w:pPr>
            <w:r>
              <w:rPr>
                <w:color w:val="1F1F1F"/>
              </w:rPr>
              <w:t>Telemetry + Knowledge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50DB5F" w14:textId="77777777" w:rsidR="00AF5863" w:rsidRDefault="00000000">
            <w:pPr>
              <w:pBdr>
                <w:top w:val="nil"/>
                <w:left w:val="nil"/>
                <w:bottom w:val="nil"/>
                <w:right w:val="nil"/>
                <w:between w:val="nil"/>
              </w:pBdr>
              <w:spacing w:before="120" w:after="120" w:line="275" w:lineRule="auto"/>
              <w:rPr>
                <w:color w:val="1F1F1F"/>
              </w:rPr>
            </w:pPr>
            <w:r>
              <w:rPr>
                <w:color w:val="1F1F1F"/>
              </w:rPr>
              <w:t>92% status prediction success.</w:t>
            </w:r>
          </w:p>
        </w:tc>
      </w:tr>
      <w:tr w:rsidR="00AF5863" w14:paraId="230125BE"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6180B94" w14:textId="77777777" w:rsidR="00AF5863" w:rsidRDefault="00000000">
            <w:pPr>
              <w:pBdr>
                <w:top w:val="nil"/>
                <w:left w:val="nil"/>
                <w:bottom w:val="nil"/>
                <w:right w:val="nil"/>
                <w:between w:val="nil"/>
              </w:pBdr>
              <w:spacing w:line="275" w:lineRule="auto"/>
              <w:rPr>
                <w:color w:val="444746"/>
                <w:sz w:val="24"/>
                <w:szCs w:val="24"/>
                <w:vertAlign w:val="superscript"/>
              </w:rPr>
            </w:pPr>
            <w:r>
              <w:rPr>
                <w:b/>
                <w:bCs/>
                <w:color w:val="1F1F1F"/>
              </w:rPr>
              <w:t>Wang et al.</w:t>
            </w:r>
            <w:r>
              <w:rPr>
                <w:color w:val="1F1F1F"/>
              </w:rPr>
              <w:t xml:space="preserve"> </w:t>
            </w:r>
            <w:r>
              <w:rPr>
                <w:color w:val="444746"/>
                <w:sz w:val="24"/>
                <w:szCs w:val="24"/>
                <w:vertAlign w:val="superscript"/>
              </w:rPr>
              <w:t>15</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811BCF" w14:textId="77777777" w:rsidR="00AF5863" w:rsidRDefault="00000000">
            <w:pPr>
              <w:pBdr>
                <w:top w:val="nil"/>
                <w:left w:val="nil"/>
                <w:bottom w:val="nil"/>
                <w:right w:val="nil"/>
                <w:between w:val="nil"/>
              </w:pBdr>
              <w:spacing w:before="120" w:after="120" w:line="275" w:lineRule="auto"/>
              <w:rPr>
                <w:color w:val="1F1F1F"/>
              </w:rPr>
            </w:pPr>
            <w:r>
              <w:rPr>
                <w:color w:val="1F1F1F"/>
              </w:rPr>
              <w:t>2025</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B14B562" w14:textId="77777777" w:rsidR="00AF5863" w:rsidRDefault="00000000">
            <w:pPr>
              <w:pBdr>
                <w:top w:val="nil"/>
                <w:left w:val="nil"/>
                <w:bottom w:val="nil"/>
                <w:right w:val="nil"/>
                <w:between w:val="nil"/>
              </w:pBdr>
              <w:spacing w:before="120" w:after="120" w:line="275" w:lineRule="auto"/>
              <w:rPr>
                <w:color w:val="1F1F1F"/>
              </w:rPr>
            </w:pPr>
            <w:r>
              <w:rPr>
                <w:color w:val="1F1F1F"/>
              </w:rPr>
              <w:t>Dual-View LSTM</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47F3AA1" w14:textId="77777777" w:rsidR="00AF5863" w:rsidRDefault="00000000">
            <w:pPr>
              <w:pBdr>
                <w:top w:val="nil"/>
                <w:left w:val="nil"/>
                <w:bottom w:val="nil"/>
                <w:right w:val="nil"/>
                <w:between w:val="nil"/>
              </w:pBdr>
              <w:spacing w:before="120" w:after="120" w:line="275" w:lineRule="auto"/>
              <w:rPr>
                <w:color w:val="1F1F1F"/>
              </w:rPr>
            </w:pPr>
            <w:r>
              <w:rPr>
                <w:color w:val="1F1F1F"/>
              </w:rPr>
              <w:t>Voltage signals only</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FF91E02" w14:textId="77777777" w:rsidR="00AF5863" w:rsidRDefault="00000000">
            <w:pPr>
              <w:pBdr>
                <w:top w:val="nil"/>
                <w:left w:val="nil"/>
                <w:bottom w:val="nil"/>
                <w:right w:val="nil"/>
                <w:between w:val="nil"/>
              </w:pBdr>
              <w:spacing w:before="120" w:after="120" w:line="275" w:lineRule="auto"/>
              <w:rPr>
                <w:color w:val="1F1F1F"/>
              </w:rPr>
            </w:pPr>
            <w:r>
              <w:rPr>
                <w:color w:val="1F1F1F"/>
              </w:rPr>
              <w:t>MAE &lt; 0.51%.</w:t>
            </w:r>
          </w:p>
        </w:tc>
      </w:tr>
      <w:tr w:rsidR="00AF5863" w14:paraId="13009682"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11BCE4" w14:textId="77777777" w:rsidR="00AF5863" w:rsidRDefault="00000000">
            <w:pPr>
              <w:pBdr>
                <w:top w:val="nil"/>
                <w:left w:val="nil"/>
                <w:bottom w:val="nil"/>
                <w:right w:val="nil"/>
                <w:between w:val="nil"/>
              </w:pBdr>
              <w:spacing w:line="275" w:lineRule="auto"/>
              <w:rPr>
                <w:color w:val="444746"/>
                <w:sz w:val="24"/>
                <w:szCs w:val="24"/>
                <w:vertAlign w:val="superscript"/>
              </w:rPr>
            </w:pPr>
            <w:r>
              <w:rPr>
                <w:b/>
                <w:bCs/>
                <w:color w:val="1F1F1F"/>
              </w:rPr>
              <w:t>Sun et al.</w:t>
            </w:r>
            <w:r>
              <w:rPr>
                <w:color w:val="1F1F1F"/>
              </w:rPr>
              <w:t xml:space="preserve"> </w:t>
            </w:r>
            <w:r>
              <w:rPr>
                <w:color w:val="444746"/>
                <w:sz w:val="24"/>
                <w:szCs w:val="24"/>
                <w:vertAlign w:val="superscript"/>
              </w:rPr>
              <w:t>15</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8872FD" w14:textId="77777777" w:rsidR="00AF5863" w:rsidRDefault="00000000">
            <w:pPr>
              <w:pBdr>
                <w:top w:val="nil"/>
                <w:left w:val="nil"/>
                <w:bottom w:val="nil"/>
                <w:right w:val="nil"/>
                <w:between w:val="nil"/>
              </w:pBdr>
              <w:spacing w:before="120" w:after="120" w:line="275" w:lineRule="auto"/>
              <w:rPr>
                <w:color w:val="1F1F1F"/>
              </w:rPr>
            </w:pPr>
            <w:r>
              <w:rPr>
                <w:color w:val="1F1F1F"/>
              </w:rPr>
              <w:t>2024</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2B006A3" w14:textId="77777777" w:rsidR="00AF5863" w:rsidRDefault="00000000">
            <w:pPr>
              <w:pBdr>
                <w:top w:val="nil"/>
                <w:left w:val="nil"/>
                <w:bottom w:val="nil"/>
                <w:right w:val="nil"/>
                <w:between w:val="nil"/>
              </w:pBdr>
              <w:spacing w:before="120" w:after="120" w:line="275" w:lineRule="auto"/>
              <w:rPr>
                <w:color w:val="1F1F1F"/>
              </w:rPr>
            </w:pPr>
            <w:r>
              <w:rPr>
                <w:color w:val="1F1F1F"/>
              </w:rPr>
              <w:t>LSTM-PINN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5FB73EE" w14:textId="77777777" w:rsidR="00AF5863" w:rsidRDefault="00000000">
            <w:pPr>
              <w:pBdr>
                <w:top w:val="nil"/>
                <w:left w:val="nil"/>
                <w:bottom w:val="nil"/>
                <w:right w:val="nil"/>
                <w:between w:val="nil"/>
              </w:pBdr>
              <w:spacing w:before="120" w:after="120" w:line="275" w:lineRule="auto"/>
              <w:rPr>
                <w:color w:val="1F1F1F"/>
              </w:rPr>
            </w:pPr>
            <w:r>
              <w:rPr>
                <w:color w:val="1F1F1F"/>
              </w:rPr>
              <w:t>Physical Priors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9B4DB2" w14:textId="77777777" w:rsidR="00AF5863" w:rsidRDefault="00000000">
            <w:pPr>
              <w:pBdr>
                <w:top w:val="nil"/>
                <w:left w:val="nil"/>
                <w:bottom w:val="nil"/>
                <w:right w:val="nil"/>
                <w:between w:val="nil"/>
              </w:pBdr>
              <w:spacing w:before="120" w:after="120" w:line="275" w:lineRule="auto"/>
              <w:rPr>
                <w:color w:val="1F1F1F"/>
              </w:rPr>
            </w:pPr>
            <w:r>
              <w:rPr>
                <w:color w:val="1F1F1F"/>
              </w:rPr>
              <w:t>NASA MAE: 0.594%.</w:t>
            </w:r>
          </w:p>
        </w:tc>
      </w:tr>
      <w:tr w:rsidR="00AF5863" w14:paraId="125FBB44"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9AC1D6" w14:textId="77777777" w:rsidR="00AF5863" w:rsidRDefault="00000000">
            <w:pPr>
              <w:pBdr>
                <w:top w:val="nil"/>
                <w:left w:val="nil"/>
                <w:bottom w:val="nil"/>
                <w:right w:val="nil"/>
                <w:between w:val="nil"/>
              </w:pBdr>
              <w:spacing w:before="120" w:after="120" w:line="275" w:lineRule="auto"/>
              <w:rPr>
                <w:b/>
                <w:bCs/>
                <w:color w:val="1F1F1F"/>
              </w:rPr>
            </w:pPr>
            <w:r>
              <w:rPr>
                <w:b/>
                <w:bCs/>
                <w:color w:val="1F1F1F"/>
              </w:rPr>
              <w:t>Yu et al.</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40AE299" w14:textId="77777777" w:rsidR="00AF5863" w:rsidRDefault="00000000">
            <w:pPr>
              <w:pBdr>
                <w:top w:val="nil"/>
                <w:left w:val="nil"/>
                <w:bottom w:val="nil"/>
                <w:right w:val="nil"/>
                <w:between w:val="nil"/>
              </w:pBdr>
              <w:spacing w:before="120" w:after="120" w:line="275" w:lineRule="auto"/>
              <w:rPr>
                <w:color w:val="1F1F1F"/>
              </w:rPr>
            </w:pPr>
            <w:r>
              <w:rPr>
                <w:color w:val="1F1F1F"/>
              </w:rPr>
              <w:t>2026</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0A3AF5F" w14:textId="77777777" w:rsidR="00AF5863" w:rsidRDefault="00000000">
            <w:pPr>
              <w:pBdr>
                <w:top w:val="nil"/>
                <w:left w:val="nil"/>
                <w:bottom w:val="nil"/>
                <w:right w:val="nil"/>
                <w:between w:val="nil"/>
              </w:pBdr>
              <w:spacing w:before="120" w:after="120" w:line="275" w:lineRule="auto"/>
              <w:rPr>
                <w:color w:val="1F1F1F"/>
              </w:rPr>
            </w:pPr>
            <w:r>
              <w:rPr>
                <w:color w:val="1F1F1F"/>
              </w:rPr>
              <w:t>Dual-Layer Ensemble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28B944D" w14:textId="77777777" w:rsidR="00AF5863" w:rsidRDefault="00000000">
            <w:pPr>
              <w:pBdr>
                <w:top w:val="nil"/>
                <w:left w:val="nil"/>
                <w:bottom w:val="nil"/>
                <w:right w:val="nil"/>
                <w:between w:val="nil"/>
              </w:pBdr>
              <w:spacing w:before="120" w:after="120" w:line="275" w:lineRule="auto"/>
              <w:rPr>
                <w:color w:val="1F1F1F"/>
              </w:rPr>
            </w:pPr>
            <w:r>
              <w:rPr>
                <w:color w:val="1F1F1F"/>
              </w:rPr>
              <w:t>Small-sample data</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FC4F7B6" w14:textId="77777777" w:rsidR="00AF5863" w:rsidRDefault="00000000">
            <w:pPr>
              <w:pBdr>
                <w:top w:val="nil"/>
                <w:left w:val="nil"/>
                <w:bottom w:val="nil"/>
                <w:right w:val="nil"/>
                <w:between w:val="nil"/>
              </w:pBdr>
              <w:spacing w:before="120" w:after="120" w:line="275" w:lineRule="auto"/>
              <w:rPr>
                <w:color w:val="1F1F1F"/>
              </w:rPr>
            </w:pPr>
            <w:r>
              <w:rPr>
                <w:color w:val="1F1F1F"/>
              </w:rPr>
              <w:t>High robustness in complex aging.</w:t>
            </w:r>
          </w:p>
        </w:tc>
      </w:tr>
      <w:tr w:rsidR="00AF5863" w14:paraId="655C62BA"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D9FD161" w14:textId="77777777" w:rsidR="00AF5863" w:rsidRDefault="00000000">
            <w:pPr>
              <w:pBdr>
                <w:top w:val="nil"/>
                <w:left w:val="nil"/>
                <w:bottom w:val="nil"/>
                <w:right w:val="nil"/>
                <w:between w:val="nil"/>
              </w:pBdr>
              <w:spacing w:before="120" w:after="120" w:line="275" w:lineRule="auto"/>
              <w:rPr>
                <w:b/>
                <w:bCs/>
                <w:color w:val="1F1F1F"/>
              </w:rPr>
            </w:pPr>
            <w:r>
              <w:rPr>
                <w:b/>
                <w:bCs/>
                <w:color w:val="1F1F1F"/>
              </w:rPr>
              <w:t>Xu et al.</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730607C" w14:textId="77777777" w:rsidR="00AF5863" w:rsidRDefault="00000000">
            <w:pPr>
              <w:pBdr>
                <w:top w:val="nil"/>
                <w:left w:val="nil"/>
                <w:bottom w:val="nil"/>
                <w:right w:val="nil"/>
                <w:between w:val="nil"/>
              </w:pBdr>
              <w:spacing w:before="120" w:after="120" w:line="275" w:lineRule="auto"/>
              <w:rPr>
                <w:color w:val="1F1F1F"/>
              </w:rPr>
            </w:pPr>
            <w:r>
              <w:rPr>
                <w:color w:val="1F1F1F"/>
              </w:rPr>
              <w:t>2026</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F2649E" w14:textId="77777777" w:rsidR="00AF5863" w:rsidRDefault="00000000">
            <w:pPr>
              <w:pBdr>
                <w:top w:val="nil"/>
                <w:left w:val="nil"/>
                <w:bottom w:val="nil"/>
                <w:right w:val="nil"/>
                <w:between w:val="nil"/>
              </w:pBdr>
              <w:spacing w:before="120" w:after="120" w:line="275" w:lineRule="auto"/>
              <w:rPr>
                <w:color w:val="1F1F1F"/>
              </w:rPr>
            </w:pPr>
            <w:r>
              <w:rPr>
                <w:color w:val="1F1F1F"/>
              </w:rPr>
              <w:t>IGOOSE-OSELM</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F0AC6B6" w14:textId="77777777" w:rsidR="00AF5863" w:rsidRDefault="00000000">
            <w:pPr>
              <w:pBdr>
                <w:top w:val="nil"/>
                <w:left w:val="nil"/>
                <w:bottom w:val="nil"/>
                <w:right w:val="nil"/>
                <w:between w:val="nil"/>
              </w:pBdr>
              <w:spacing w:before="120" w:after="120" w:line="275" w:lineRule="auto"/>
              <w:rPr>
                <w:color w:val="1F1F1F"/>
              </w:rPr>
            </w:pPr>
            <w:r>
              <w:rPr>
                <w:color w:val="1F1F1F"/>
              </w:rPr>
              <w:t>Online Sequential ML</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B75E845" w14:textId="77777777" w:rsidR="00AF5863" w:rsidRDefault="00000000">
            <w:pPr>
              <w:pBdr>
                <w:top w:val="nil"/>
                <w:left w:val="nil"/>
                <w:bottom w:val="nil"/>
                <w:right w:val="nil"/>
                <w:between w:val="nil"/>
              </w:pBdr>
              <w:spacing w:before="120" w:after="120" w:line="275" w:lineRule="auto"/>
              <w:rPr>
                <w:color w:val="1F1F1F"/>
              </w:rPr>
            </w:pPr>
            <w:r>
              <w:rPr>
                <w:color w:val="1F1F1F"/>
              </w:rPr>
              <w:t>RMSE &lt; 0.0045.</w:t>
            </w:r>
          </w:p>
        </w:tc>
      </w:tr>
      <w:tr w:rsidR="00AF5863" w14:paraId="14A1292F"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44543C" w14:textId="77777777" w:rsidR="00AF5863" w:rsidRDefault="00000000">
            <w:pPr>
              <w:pBdr>
                <w:top w:val="nil"/>
                <w:left w:val="nil"/>
                <w:bottom w:val="nil"/>
                <w:right w:val="nil"/>
                <w:between w:val="nil"/>
              </w:pBdr>
              <w:spacing w:line="275" w:lineRule="auto"/>
              <w:rPr>
                <w:color w:val="444746"/>
                <w:sz w:val="24"/>
                <w:szCs w:val="24"/>
                <w:vertAlign w:val="superscript"/>
              </w:rPr>
            </w:pPr>
            <w:r>
              <w:rPr>
                <w:b/>
                <w:bCs/>
                <w:color w:val="1F1F1F"/>
              </w:rPr>
              <w:t>Tomar et al.</w:t>
            </w:r>
            <w:r>
              <w:rPr>
                <w:color w:val="1F1F1F"/>
              </w:rPr>
              <w:t xml:space="preserve"> </w:t>
            </w:r>
            <w:r>
              <w:rPr>
                <w:color w:val="444746"/>
                <w:sz w:val="24"/>
                <w:szCs w:val="24"/>
                <w:vertAlign w:val="superscript"/>
              </w:rPr>
              <w:t>15</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605364" w14:textId="77777777" w:rsidR="00AF5863" w:rsidRDefault="00000000">
            <w:pPr>
              <w:pBdr>
                <w:top w:val="nil"/>
                <w:left w:val="nil"/>
                <w:bottom w:val="nil"/>
                <w:right w:val="nil"/>
                <w:between w:val="nil"/>
              </w:pBdr>
              <w:spacing w:before="120" w:after="120" w:line="275" w:lineRule="auto"/>
              <w:rPr>
                <w:color w:val="1F1F1F"/>
              </w:rPr>
            </w:pPr>
            <w:r>
              <w:rPr>
                <w:color w:val="1F1F1F"/>
              </w:rPr>
              <w:t>2025</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66C1C1D" w14:textId="77777777" w:rsidR="00AF5863" w:rsidRDefault="00000000">
            <w:pPr>
              <w:pBdr>
                <w:top w:val="nil"/>
                <w:left w:val="nil"/>
                <w:bottom w:val="nil"/>
                <w:right w:val="nil"/>
                <w:between w:val="nil"/>
              </w:pBdr>
              <w:spacing w:before="120" w:after="120" w:line="275" w:lineRule="auto"/>
              <w:rPr>
                <w:color w:val="1F1F1F"/>
              </w:rPr>
            </w:pPr>
            <w:proofErr w:type="spellStart"/>
            <w:r>
              <w:rPr>
                <w:color w:val="1F1F1F"/>
              </w:rPr>
              <w:t>AttentiveLSTM</w:t>
            </w:r>
            <w:proofErr w:type="spellEnd"/>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C7F56E2" w14:textId="77777777" w:rsidR="00AF5863" w:rsidRDefault="00000000">
            <w:pPr>
              <w:pBdr>
                <w:top w:val="nil"/>
                <w:left w:val="nil"/>
                <w:bottom w:val="nil"/>
                <w:right w:val="nil"/>
                <w:between w:val="nil"/>
              </w:pBdr>
              <w:spacing w:before="120" w:after="120" w:line="275" w:lineRule="auto"/>
              <w:rPr>
                <w:color w:val="1F1F1F"/>
              </w:rPr>
            </w:pPr>
            <w:r>
              <w:rPr>
                <w:color w:val="1F1F1F"/>
              </w:rPr>
              <w:t>Non-linear patterns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C34E77A" w14:textId="77777777" w:rsidR="00AF5863" w:rsidRDefault="00000000">
            <w:pPr>
              <w:pBdr>
                <w:top w:val="nil"/>
                <w:left w:val="nil"/>
                <w:bottom w:val="nil"/>
                <w:right w:val="nil"/>
                <w:between w:val="nil"/>
              </w:pBdr>
              <w:spacing w:before="120" w:after="120" w:line="275" w:lineRule="auto"/>
              <w:rPr>
                <w:color w:val="1F1F1F"/>
              </w:rPr>
            </w:pPr>
            <w:r>
              <w:rPr>
                <w:color w:val="1F1F1F"/>
              </w:rPr>
              <w:t>Surpasses current SOTA.</w:t>
            </w:r>
          </w:p>
        </w:tc>
      </w:tr>
      <w:tr w:rsidR="00AF5863" w14:paraId="25429DED"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B5BF47" w14:textId="77777777" w:rsidR="00AF5863" w:rsidRDefault="00000000">
            <w:pPr>
              <w:pBdr>
                <w:top w:val="nil"/>
                <w:left w:val="nil"/>
                <w:bottom w:val="nil"/>
                <w:right w:val="nil"/>
                <w:between w:val="nil"/>
              </w:pBdr>
              <w:spacing w:line="275" w:lineRule="auto"/>
              <w:rPr>
                <w:color w:val="444746"/>
                <w:sz w:val="24"/>
                <w:szCs w:val="24"/>
                <w:vertAlign w:val="superscript"/>
              </w:rPr>
            </w:pPr>
            <w:proofErr w:type="spellStart"/>
            <w:r>
              <w:rPr>
                <w:b/>
                <w:bCs/>
                <w:color w:val="1F1F1F"/>
              </w:rPr>
              <w:t>Brasil</w:t>
            </w:r>
            <w:proofErr w:type="spellEnd"/>
            <w:r>
              <w:rPr>
                <w:b/>
                <w:bCs/>
                <w:color w:val="1F1F1F"/>
              </w:rPr>
              <w:t xml:space="preserve"> et al.</w:t>
            </w:r>
            <w:r>
              <w:rPr>
                <w:color w:val="1F1F1F"/>
              </w:rPr>
              <w:t xml:space="preserve"> </w:t>
            </w:r>
            <w:r>
              <w:rPr>
                <w:color w:val="444746"/>
                <w:sz w:val="24"/>
                <w:szCs w:val="24"/>
                <w:vertAlign w:val="superscript"/>
              </w:rPr>
              <w:t>22</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77BA0C" w14:textId="77777777" w:rsidR="00AF5863" w:rsidRDefault="00000000">
            <w:pPr>
              <w:pBdr>
                <w:top w:val="nil"/>
                <w:left w:val="nil"/>
                <w:bottom w:val="nil"/>
                <w:right w:val="nil"/>
                <w:between w:val="nil"/>
              </w:pBdr>
              <w:spacing w:before="120" w:after="120" w:line="275" w:lineRule="auto"/>
              <w:rPr>
                <w:color w:val="1F1F1F"/>
              </w:rPr>
            </w:pPr>
            <w:r>
              <w:rPr>
                <w:color w:val="1F1F1F"/>
              </w:rPr>
              <w:t>2026</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4291B21" w14:textId="77777777" w:rsidR="00AF5863" w:rsidRDefault="00000000">
            <w:pPr>
              <w:pBdr>
                <w:top w:val="nil"/>
                <w:left w:val="nil"/>
                <w:bottom w:val="nil"/>
                <w:right w:val="nil"/>
                <w:between w:val="nil"/>
              </w:pBdr>
              <w:spacing w:before="120" w:after="120" w:line="275" w:lineRule="auto"/>
              <w:rPr>
                <w:color w:val="1F1F1F"/>
              </w:rPr>
            </w:pPr>
            <w:r>
              <w:rPr>
                <w:color w:val="1F1F1F"/>
              </w:rPr>
              <w:t>RNN, LSTM, AAS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028062" w14:textId="77777777" w:rsidR="00AF5863" w:rsidRDefault="00000000">
            <w:pPr>
              <w:pBdr>
                <w:top w:val="nil"/>
                <w:left w:val="nil"/>
                <w:bottom w:val="nil"/>
                <w:right w:val="nil"/>
                <w:between w:val="nil"/>
              </w:pBdr>
              <w:spacing w:before="120" w:after="120" w:line="275" w:lineRule="auto"/>
              <w:rPr>
                <w:color w:val="1F1F1F"/>
              </w:rPr>
            </w:pPr>
            <w:r>
              <w:rPr>
                <w:color w:val="1F1F1F"/>
              </w:rPr>
              <w:t>Telemetry + History</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303D656" w14:textId="77777777" w:rsidR="00AF5863" w:rsidRDefault="00000000">
            <w:pPr>
              <w:pBdr>
                <w:top w:val="nil"/>
                <w:left w:val="nil"/>
                <w:bottom w:val="nil"/>
                <w:right w:val="nil"/>
                <w:between w:val="nil"/>
              </w:pBdr>
              <w:spacing w:before="120" w:after="120" w:line="275" w:lineRule="auto"/>
              <w:rPr>
                <w:color w:val="1F1F1F"/>
              </w:rPr>
            </w:pPr>
            <w:r>
              <w:rPr>
                <w:color w:val="1F1F1F"/>
              </w:rPr>
              <w:t>Technical DPP blueprint.</w:t>
            </w:r>
          </w:p>
        </w:tc>
      </w:tr>
      <w:tr w:rsidR="00AF5863" w14:paraId="11EC251F"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7B14A2B" w14:textId="77777777" w:rsidR="00AF5863" w:rsidRDefault="00000000">
            <w:pPr>
              <w:pBdr>
                <w:top w:val="nil"/>
                <w:left w:val="nil"/>
                <w:bottom w:val="nil"/>
                <w:right w:val="nil"/>
                <w:between w:val="nil"/>
              </w:pBdr>
              <w:spacing w:line="275" w:lineRule="auto"/>
              <w:rPr>
                <w:color w:val="444746"/>
                <w:sz w:val="24"/>
                <w:szCs w:val="24"/>
                <w:vertAlign w:val="superscript"/>
              </w:rPr>
            </w:pPr>
            <w:r>
              <w:rPr>
                <w:b/>
                <w:bCs/>
                <w:color w:val="1F1F1F"/>
              </w:rPr>
              <w:t>Peng et al.</w:t>
            </w:r>
            <w:r>
              <w:rPr>
                <w:color w:val="1F1F1F"/>
              </w:rPr>
              <w:t xml:space="preserve"> </w:t>
            </w:r>
            <w:r>
              <w:rPr>
                <w:color w:val="444746"/>
                <w:sz w:val="24"/>
                <w:szCs w:val="24"/>
                <w:vertAlign w:val="superscript"/>
              </w:rPr>
              <w:t>15</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7770885" w14:textId="77777777" w:rsidR="00AF5863" w:rsidRDefault="00000000">
            <w:pPr>
              <w:pBdr>
                <w:top w:val="nil"/>
                <w:left w:val="nil"/>
                <w:bottom w:val="nil"/>
                <w:right w:val="nil"/>
                <w:between w:val="nil"/>
              </w:pBdr>
              <w:spacing w:before="120" w:after="120" w:line="275" w:lineRule="auto"/>
              <w:rPr>
                <w:color w:val="1F1F1F"/>
              </w:rPr>
            </w:pPr>
            <w:r>
              <w:rPr>
                <w:color w:val="1F1F1F"/>
              </w:rPr>
              <w:t>2025</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8EB94B" w14:textId="77777777" w:rsidR="00AF5863" w:rsidRDefault="00000000">
            <w:pPr>
              <w:pBdr>
                <w:top w:val="nil"/>
                <w:left w:val="nil"/>
                <w:bottom w:val="nil"/>
                <w:right w:val="nil"/>
                <w:between w:val="nil"/>
              </w:pBdr>
              <w:spacing w:before="120" w:after="120" w:line="275" w:lineRule="auto"/>
              <w:rPr>
                <w:color w:val="1F1F1F"/>
              </w:rPr>
            </w:pPr>
            <w:r>
              <w:rPr>
                <w:color w:val="1F1F1F"/>
              </w:rPr>
              <w:t>GNN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A67706D" w14:textId="77777777" w:rsidR="00AF5863" w:rsidRDefault="00000000">
            <w:pPr>
              <w:pBdr>
                <w:top w:val="nil"/>
                <w:left w:val="nil"/>
                <w:bottom w:val="nil"/>
                <w:right w:val="nil"/>
                <w:between w:val="nil"/>
              </w:pBdr>
              <w:spacing w:before="120" w:after="120" w:line="275" w:lineRule="auto"/>
              <w:rPr>
                <w:color w:val="1F1F1F"/>
              </w:rPr>
            </w:pPr>
            <w:r>
              <w:rPr>
                <w:color w:val="1F1F1F"/>
              </w:rPr>
              <w:t>Partial discharge dynamics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D50DAF1" w14:textId="77777777" w:rsidR="00AF5863" w:rsidRDefault="00000000">
            <w:pPr>
              <w:pBdr>
                <w:top w:val="nil"/>
                <w:left w:val="nil"/>
                <w:bottom w:val="nil"/>
                <w:right w:val="nil"/>
                <w:between w:val="nil"/>
              </w:pBdr>
              <w:spacing w:before="120" w:after="120" w:line="275" w:lineRule="auto"/>
              <w:rPr>
                <w:color w:val="1F1F1F"/>
              </w:rPr>
            </w:pPr>
            <w:proofErr w:type="spellStart"/>
            <w:r>
              <w:rPr>
                <w:color w:val="1F1F1F"/>
              </w:rPr>
              <w:t>Spatio</w:t>
            </w:r>
            <w:proofErr w:type="spellEnd"/>
            <w:r>
              <w:rPr>
                <w:color w:val="1F1F1F"/>
              </w:rPr>
              <w:t xml:space="preserve">-temporal </w:t>
            </w:r>
            <w:proofErr w:type="spellStart"/>
            <w:r>
              <w:rPr>
                <w:color w:val="1F1F1F"/>
              </w:rPr>
              <w:t>modeling</w:t>
            </w:r>
            <w:proofErr w:type="spellEnd"/>
            <w:r>
              <w:rPr>
                <w:color w:val="1F1F1F"/>
              </w:rPr>
              <w:t>.</w:t>
            </w:r>
          </w:p>
        </w:tc>
      </w:tr>
      <w:tr w:rsidR="00AF5863" w14:paraId="16D98A36"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B58DA60" w14:textId="77777777" w:rsidR="00AF5863" w:rsidRDefault="00000000">
            <w:pPr>
              <w:pBdr>
                <w:top w:val="nil"/>
                <w:left w:val="nil"/>
                <w:bottom w:val="nil"/>
                <w:right w:val="nil"/>
                <w:between w:val="nil"/>
              </w:pBdr>
              <w:spacing w:line="275" w:lineRule="auto"/>
              <w:rPr>
                <w:color w:val="444746"/>
                <w:sz w:val="24"/>
                <w:szCs w:val="24"/>
                <w:vertAlign w:val="superscript"/>
              </w:rPr>
            </w:pPr>
            <w:r>
              <w:rPr>
                <w:b/>
                <w:bCs/>
                <w:color w:val="1F1F1F"/>
              </w:rPr>
              <w:t>Mou et al.</w:t>
            </w:r>
            <w:r>
              <w:rPr>
                <w:color w:val="1F1F1F"/>
              </w:rPr>
              <w:t xml:space="preserve"> </w:t>
            </w:r>
            <w:r>
              <w:rPr>
                <w:color w:val="444746"/>
                <w:sz w:val="24"/>
                <w:szCs w:val="24"/>
                <w:vertAlign w:val="superscript"/>
              </w:rPr>
              <w:t>15</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BE4CA0" w14:textId="77777777" w:rsidR="00AF5863" w:rsidRDefault="00000000">
            <w:pPr>
              <w:pBdr>
                <w:top w:val="nil"/>
                <w:left w:val="nil"/>
                <w:bottom w:val="nil"/>
                <w:right w:val="nil"/>
                <w:between w:val="nil"/>
              </w:pBdr>
              <w:spacing w:before="120" w:after="120" w:line="275" w:lineRule="auto"/>
              <w:rPr>
                <w:color w:val="1F1F1F"/>
              </w:rPr>
            </w:pPr>
            <w:r>
              <w:rPr>
                <w:color w:val="1F1F1F"/>
              </w:rPr>
              <w:t>2024</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18E4EFF" w14:textId="77777777" w:rsidR="00AF5863" w:rsidRDefault="00000000">
            <w:pPr>
              <w:pBdr>
                <w:top w:val="nil"/>
                <w:left w:val="nil"/>
                <w:bottom w:val="nil"/>
                <w:right w:val="nil"/>
                <w:between w:val="nil"/>
              </w:pBdr>
              <w:spacing w:before="120" w:after="120" w:line="275" w:lineRule="auto"/>
              <w:rPr>
                <w:color w:val="1F1F1F"/>
              </w:rPr>
            </w:pPr>
            <w:r>
              <w:rPr>
                <w:color w:val="1F1F1F"/>
              </w:rPr>
              <w:t>CNN-BLSTM</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79614F" w14:textId="77777777" w:rsidR="00AF5863" w:rsidRDefault="00000000">
            <w:pPr>
              <w:pBdr>
                <w:top w:val="nil"/>
                <w:left w:val="nil"/>
                <w:bottom w:val="nil"/>
                <w:right w:val="nil"/>
                <w:between w:val="nil"/>
              </w:pBdr>
              <w:spacing w:before="120" w:after="120" w:line="275" w:lineRule="auto"/>
              <w:rPr>
                <w:color w:val="1F1F1F"/>
              </w:rPr>
            </w:pPr>
            <w:r>
              <w:rPr>
                <w:color w:val="1F1F1F"/>
              </w:rPr>
              <w:t>Capacity signals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A96D0EA" w14:textId="77777777" w:rsidR="00AF5863" w:rsidRDefault="00000000">
            <w:pPr>
              <w:pBdr>
                <w:top w:val="nil"/>
                <w:left w:val="nil"/>
                <w:bottom w:val="nil"/>
                <w:right w:val="nil"/>
                <w:between w:val="nil"/>
              </w:pBdr>
              <w:spacing w:before="120" w:after="120" w:line="275" w:lineRule="auto"/>
              <w:rPr>
                <w:color w:val="1F1F1F"/>
              </w:rPr>
            </w:pPr>
            <w:r>
              <w:rPr>
                <w:color w:val="1F1F1F"/>
              </w:rPr>
              <w:t>Enhanced non-linear capture.</w:t>
            </w:r>
          </w:p>
        </w:tc>
      </w:tr>
      <w:tr w:rsidR="00AF5863" w14:paraId="693B3719"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297EDFE" w14:textId="77777777" w:rsidR="00AF5863" w:rsidRDefault="00000000">
            <w:pPr>
              <w:pBdr>
                <w:top w:val="nil"/>
                <w:left w:val="nil"/>
                <w:bottom w:val="nil"/>
                <w:right w:val="nil"/>
                <w:between w:val="nil"/>
              </w:pBdr>
              <w:spacing w:line="275" w:lineRule="auto"/>
              <w:rPr>
                <w:color w:val="444746"/>
                <w:sz w:val="24"/>
                <w:szCs w:val="24"/>
                <w:vertAlign w:val="superscript"/>
              </w:rPr>
            </w:pPr>
            <w:r>
              <w:rPr>
                <w:b/>
                <w:bCs/>
                <w:color w:val="1F1F1F"/>
              </w:rPr>
              <w:t>Kumar et al.</w:t>
            </w:r>
            <w:r>
              <w:rPr>
                <w:color w:val="1F1F1F"/>
              </w:rPr>
              <w:t xml:space="preserve"> </w:t>
            </w:r>
            <w:r>
              <w:rPr>
                <w:color w:val="444746"/>
                <w:sz w:val="24"/>
                <w:szCs w:val="24"/>
                <w:vertAlign w:val="superscript"/>
              </w:rPr>
              <w:t>15</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9201D8" w14:textId="77777777" w:rsidR="00AF5863" w:rsidRDefault="00000000">
            <w:pPr>
              <w:pBdr>
                <w:top w:val="nil"/>
                <w:left w:val="nil"/>
                <w:bottom w:val="nil"/>
                <w:right w:val="nil"/>
                <w:between w:val="nil"/>
              </w:pBdr>
              <w:spacing w:before="120" w:after="120" w:line="275" w:lineRule="auto"/>
              <w:rPr>
                <w:color w:val="1F1F1F"/>
              </w:rPr>
            </w:pPr>
            <w:r>
              <w:rPr>
                <w:color w:val="1F1F1F"/>
              </w:rPr>
              <w:t>2023</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15D6368" w14:textId="77777777" w:rsidR="00AF5863" w:rsidRDefault="00000000">
            <w:pPr>
              <w:pBdr>
                <w:top w:val="nil"/>
                <w:left w:val="nil"/>
                <w:bottom w:val="nil"/>
                <w:right w:val="nil"/>
                <w:between w:val="nil"/>
              </w:pBdr>
              <w:spacing w:before="120" w:after="120" w:line="275" w:lineRule="auto"/>
              <w:rPr>
                <w:color w:val="1F1F1F"/>
              </w:rPr>
            </w:pPr>
            <w:r>
              <w:rPr>
                <w:color w:val="1F1F1F"/>
              </w:rPr>
              <w:t xml:space="preserve">SVR, </w:t>
            </w:r>
            <w:proofErr w:type="spellStart"/>
            <w:r>
              <w:rPr>
                <w:color w:val="1F1F1F"/>
              </w:rPr>
              <w:t>BiLSTM</w:t>
            </w:r>
            <w:proofErr w:type="spellEnd"/>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6BB5F81" w14:textId="77777777" w:rsidR="00AF5863" w:rsidRDefault="00000000">
            <w:pPr>
              <w:pBdr>
                <w:top w:val="nil"/>
                <w:left w:val="nil"/>
                <w:bottom w:val="nil"/>
                <w:right w:val="nil"/>
                <w:between w:val="nil"/>
              </w:pBdr>
              <w:spacing w:before="120" w:after="120" w:line="275" w:lineRule="auto"/>
              <w:rPr>
                <w:color w:val="1F1F1F"/>
              </w:rPr>
            </w:pPr>
            <w:r>
              <w:rPr>
                <w:color w:val="1F1F1F"/>
              </w:rPr>
              <w:t xml:space="preserve">Logistics + </w:t>
            </w:r>
            <w:r>
              <w:rPr>
                <w:color w:val="1F1F1F"/>
              </w:rPr>
              <w:lastRenderedPageBreak/>
              <w:t>Provenance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4B9FB8" w14:textId="77777777" w:rsidR="00AF5863" w:rsidRDefault="00000000">
            <w:pPr>
              <w:pBdr>
                <w:top w:val="nil"/>
                <w:left w:val="nil"/>
                <w:bottom w:val="nil"/>
                <w:right w:val="nil"/>
                <w:between w:val="nil"/>
              </w:pBdr>
              <w:spacing w:before="120" w:after="120" w:line="275" w:lineRule="auto"/>
              <w:rPr>
                <w:color w:val="1F1F1F"/>
              </w:rPr>
            </w:pPr>
            <w:r>
              <w:rPr>
                <w:color w:val="1F1F1F"/>
              </w:rPr>
              <w:lastRenderedPageBreak/>
              <w:t xml:space="preserve">11-44% transport </w:t>
            </w:r>
            <w:r>
              <w:rPr>
                <w:color w:val="1F1F1F"/>
              </w:rPr>
              <w:lastRenderedPageBreak/>
              <w:t>savings.</w:t>
            </w:r>
          </w:p>
        </w:tc>
      </w:tr>
    </w:tbl>
    <w:p w14:paraId="1FBDB172" w14:textId="77777777" w:rsidR="00AF5863" w:rsidRDefault="00000000">
      <w:pPr>
        <w:pStyle w:val="Heading2"/>
        <w:spacing w:before="0" w:after="120" w:line="275" w:lineRule="auto"/>
        <w:rPr>
          <w:color w:val="1F1F1F"/>
        </w:rPr>
      </w:pPr>
      <w:r>
        <w:rPr>
          <w:color w:val="1F1F1F"/>
        </w:rPr>
        <w:lastRenderedPageBreak/>
        <w:t>Multi-Criteria Decision-Making for End-of-Life Strategies</w:t>
      </w:r>
    </w:p>
    <w:p w14:paraId="4B4D2374" w14:textId="77777777" w:rsidR="00AF5863" w:rsidRDefault="00000000">
      <w:pPr>
        <w:pBdr>
          <w:top w:val="nil"/>
          <w:left w:val="nil"/>
          <w:bottom w:val="nil"/>
          <w:right w:val="nil"/>
          <w:between w:val="nil"/>
        </w:pBdr>
        <w:spacing w:after="150" w:line="275" w:lineRule="auto"/>
        <w:rPr>
          <w:color w:val="444746"/>
          <w:sz w:val="24"/>
          <w:szCs w:val="24"/>
          <w:vertAlign w:val="superscript"/>
        </w:rPr>
      </w:pPr>
      <w:r>
        <w:rPr>
          <w:color w:val="1F1F1F"/>
        </w:rPr>
        <w:t>Upon reaching retirement, a battery enters a decision phase where its pathway—second-life, remanufacturing, or recycling—must be determined.</w:t>
      </w:r>
      <w:r>
        <w:rPr>
          <w:color w:val="444746"/>
          <w:sz w:val="24"/>
          <w:szCs w:val="24"/>
          <w:vertAlign w:val="superscript"/>
        </w:rPr>
        <w:t>1</w:t>
      </w:r>
    </w:p>
    <w:p w14:paraId="6955E617" w14:textId="77777777" w:rsidR="00AF5863" w:rsidRDefault="00000000">
      <w:pPr>
        <w:pStyle w:val="Heading3"/>
        <w:spacing w:before="0" w:after="120" w:line="275" w:lineRule="auto"/>
        <w:rPr>
          <w:color w:val="1F1F1F"/>
        </w:rPr>
      </w:pPr>
      <w:r>
        <w:rPr>
          <w:color w:val="1F1F1F"/>
        </w:rPr>
        <w:t>The TOPSIS Methodology</w:t>
      </w:r>
    </w:p>
    <w:p w14:paraId="1F68EF1A" w14:textId="77777777" w:rsidR="00AF5863" w:rsidRDefault="00000000">
      <w:pPr>
        <w:pBdr>
          <w:top w:val="nil"/>
          <w:left w:val="nil"/>
          <w:bottom w:val="nil"/>
          <w:right w:val="nil"/>
          <w:between w:val="nil"/>
        </w:pBdr>
        <w:spacing w:after="150" w:line="275" w:lineRule="auto"/>
        <w:rPr>
          <w:color w:val="1F1F1F"/>
        </w:rPr>
      </w:pPr>
      <w:r>
        <w:rPr>
          <w:color w:val="1F1F1F"/>
        </w:rPr>
        <w:t>TOPSIS ranks alternatives based on their distance to a Positive Ideal Solution (</w:t>
      </w:r>
      <w:r>
        <w:rPr>
          <w:noProof/>
          <w:color w:val="1F1F1F"/>
        </w:rPr>
        <w:drawing>
          <wp:inline distT="19050" distB="19050" distL="19050" distR="19050" wp14:anchorId="51B60078" wp14:editId="4E3CECCF">
            <wp:extent cx="258128" cy="242483"/>
            <wp:effectExtent l="0" t="0" r="0" b="0"/>
            <wp:docPr id="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3"/>
                    <a:srcRect/>
                    <a:stretch>
                      <a:fillRect/>
                    </a:stretch>
                  </pic:blipFill>
                  <pic:spPr>
                    <a:xfrm>
                      <a:off x="0" y="0"/>
                      <a:ext cx="258128" cy="242483"/>
                    </a:xfrm>
                    <a:prstGeom prst="rect">
                      <a:avLst/>
                    </a:prstGeom>
                    <a:ln/>
                  </pic:spPr>
                </pic:pic>
              </a:graphicData>
            </a:graphic>
          </wp:inline>
        </w:drawing>
      </w:r>
      <w:r>
        <w:rPr>
          <w:color w:val="1F1F1F"/>
        </w:rPr>
        <w:t>) and a Negative Ideal Solution (</w:t>
      </w:r>
      <w:r>
        <w:rPr>
          <w:noProof/>
          <w:color w:val="1F1F1F"/>
        </w:rPr>
        <w:drawing>
          <wp:inline distT="19050" distB="19050" distL="19050" distR="19050" wp14:anchorId="1255ACA6" wp14:editId="7BCD21E9">
            <wp:extent cx="258128" cy="242483"/>
            <wp:effectExtent l="0" t="0" r="0" b="0"/>
            <wp:docPr id="10"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4"/>
                    <a:srcRect/>
                    <a:stretch>
                      <a:fillRect/>
                    </a:stretch>
                  </pic:blipFill>
                  <pic:spPr>
                    <a:xfrm>
                      <a:off x="0" y="0"/>
                      <a:ext cx="258128" cy="242483"/>
                    </a:xfrm>
                    <a:prstGeom prst="rect">
                      <a:avLst/>
                    </a:prstGeom>
                    <a:ln/>
                  </pic:spPr>
                </pic:pic>
              </a:graphicData>
            </a:graphic>
          </wp:inline>
        </w:drawing>
      </w:r>
      <w:r>
        <w:rPr>
          <w:color w:val="1F1F1F"/>
        </w:rPr>
        <w:t xml:space="preserve">) </w:t>
      </w:r>
      <w:r>
        <w:rPr>
          <w:color w:val="444746"/>
          <w:sz w:val="24"/>
          <w:szCs w:val="24"/>
          <w:vertAlign w:val="superscript"/>
        </w:rPr>
        <w:t>23</w:t>
      </w:r>
      <w:r>
        <w:rPr>
          <w:color w:val="1F1F1F"/>
        </w:rPr>
        <w:t>:</w:t>
      </w:r>
    </w:p>
    <w:p w14:paraId="17A97DC2" w14:textId="77777777" w:rsidR="00AF5863" w:rsidRDefault="00000000">
      <w:pPr>
        <w:numPr>
          <w:ilvl w:val="0"/>
          <w:numId w:val="2"/>
        </w:numPr>
        <w:pBdr>
          <w:top w:val="nil"/>
          <w:left w:val="nil"/>
          <w:bottom w:val="nil"/>
          <w:right w:val="nil"/>
          <w:between w:val="nil"/>
        </w:pBdr>
        <w:spacing w:line="275" w:lineRule="auto"/>
      </w:pPr>
      <w:r>
        <w:rPr>
          <w:b/>
          <w:bCs/>
          <w:color w:val="1F1F1F"/>
        </w:rPr>
        <w:t>Normalized Matrix (</w:t>
      </w:r>
      <w:r>
        <w:rPr>
          <w:b/>
          <w:bCs/>
          <w:noProof/>
          <w:color w:val="1F1F1F"/>
        </w:rPr>
        <w:drawing>
          <wp:inline distT="19050" distB="19050" distL="19050" distR="19050" wp14:anchorId="079ADE09" wp14:editId="5B44B272">
            <wp:extent cx="197525" cy="235510"/>
            <wp:effectExtent l="0" t="0" r="0" b="0"/>
            <wp:docPr id="11"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5"/>
                    <a:srcRect/>
                    <a:stretch>
                      <a:fillRect/>
                    </a:stretch>
                  </pic:blipFill>
                  <pic:spPr>
                    <a:xfrm>
                      <a:off x="0" y="0"/>
                      <a:ext cx="197525" cy="235510"/>
                    </a:xfrm>
                    <a:prstGeom prst="rect">
                      <a:avLst/>
                    </a:prstGeom>
                    <a:ln/>
                  </pic:spPr>
                </pic:pic>
              </a:graphicData>
            </a:graphic>
          </wp:inline>
        </w:drawing>
      </w:r>
      <w:r>
        <w:rPr>
          <w:b/>
          <w:bCs/>
          <w:color w:val="1F1F1F"/>
        </w:rPr>
        <w:t>):</w:t>
      </w:r>
      <w:r>
        <w:rPr>
          <w:color w:val="000000"/>
        </w:rPr>
        <w:br/>
      </w:r>
      <w:r>
        <w:rPr>
          <w:noProof/>
          <w:color w:val="000000"/>
        </w:rPr>
        <w:drawing>
          <wp:inline distT="19050" distB="19050" distL="19050" distR="19050" wp14:anchorId="757E9B93" wp14:editId="15234047">
            <wp:extent cx="5905500" cy="697043"/>
            <wp:effectExtent l="0" t="0" r="0" b="0"/>
            <wp:docPr id="1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6"/>
                    <a:srcRect/>
                    <a:stretch>
                      <a:fillRect/>
                    </a:stretch>
                  </pic:blipFill>
                  <pic:spPr>
                    <a:xfrm>
                      <a:off x="0" y="0"/>
                      <a:ext cx="5905500" cy="697043"/>
                    </a:xfrm>
                    <a:prstGeom prst="rect">
                      <a:avLst/>
                    </a:prstGeom>
                    <a:ln/>
                  </pic:spPr>
                </pic:pic>
              </a:graphicData>
            </a:graphic>
          </wp:inline>
        </w:drawing>
      </w:r>
    </w:p>
    <w:p w14:paraId="5C4A2FA0" w14:textId="77777777" w:rsidR="00AF5863" w:rsidRDefault="00000000">
      <w:pPr>
        <w:numPr>
          <w:ilvl w:val="0"/>
          <w:numId w:val="2"/>
        </w:numPr>
        <w:pBdr>
          <w:top w:val="nil"/>
          <w:left w:val="nil"/>
          <w:bottom w:val="nil"/>
          <w:right w:val="nil"/>
          <w:between w:val="nil"/>
        </w:pBdr>
        <w:spacing w:line="275" w:lineRule="auto"/>
      </w:pPr>
      <w:r>
        <w:rPr>
          <w:b/>
          <w:bCs/>
          <w:color w:val="1F1F1F"/>
        </w:rPr>
        <w:t>Weighted Matrix (</w:t>
      </w:r>
      <w:r>
        <w:rPr>
          <w:b/>
          <w:bCs/>
          <w:noProof/>
          <w:color w:val="1F1F1F"/>
        </w:rPr>
        <w:drawing>
          <wp:inline distT="19050" distB="19050" distL="19050" distR="19050" wp14:anchorId="0465B099" wp14:editId="4C349807">
            <wp:extent cx="203835" cy="243034"/>
            <wp:effectExtent l="0" t="0" r="0" b="0"/>
            <wp:docPr id="2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7"/>
                    <a:srcRect/>
                    <a:stretch>
                      <a:fillRect/>
                    </a:stretch>
                  </pic:blipFill>
                  <pic:spPr>
                    <a:xfrm>
                      <a:off x="0" y="0"/>
                      <a:ext cx="203835" cy="243034"/>
                    </a:xfrm>
                    <a:prstGeom prst="rect">
                      <a:avLst/>
                    </a:prstGeom>
                    <a:ln/>
                  </pic:spPr>
                </pic:pic>
              </a:graphicData>
            </a:graphic>
          </wp:inline>
        </w:drawing>
      </w:r>
      <w:r>
        <w:rPr>
          <w:b/>
          <w:bCs/>
          <w:color w:val="1F1F1F"/>
        </w:rPr>
        <w:t>):</w:t>
      </w:r>
      <w:r>
        <w:rPr>
          <w:color w:val="000000"/>
        </w:rPr>
        <w:br/>
      </w:r>
      <w:r>
        <w:rPr>
          <w:noProof/>
          <w:color w:val="000000"/>
        </w:rPr>
        <w:drawing>
          <wp:inline distT="19050" distB="19050" distL="19050" distR="19050" wp14:anchorId="18B91219" wp14:editId="0EF7FC7C">
            <wp:extent cx="5905500" cy="458241"/>
            <wp:effectExtent l="0" t="0" r="0" b="0"/>
            <wp:docPr id="24"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8"/>
                    <a:srcRect/>
                    <a:stretch>
                      <a:fillRect/>
                    </a:stretch>
                  </pic:blipFill>
                  <pic:spPr>
                    <a:xfrm>
                      <a:off x="0" y="0"/>
                      <a:ext cx="5905500" cy="458241"/>
                    </a:xfrm>
                    <a:prstGeom prst="rect">
                      <a:avLst/>
                    </a:prstGeom>
                    <a:ln/>
                  </pic:spPr>
                </pic:pic>
              </a:graphicData>
            </a:graphic>
          </wp:inline>
        </w:drawing>
      </w:r>
    </w:p>
    <w:p w14:paraId="2511F727" w14:textId="77777777" w:rsidR="00AF5863" w:rsidRDefault="00000000">
      <w:pPr>
        <w:numPr>
          <w:ilvl w:val="0"/>
          <w:numId w:val="2"/>
        </w:numPr>
        <w:pBdr>
          <w:top w:val="nil"/>
          <w:left w:val="nil"/>
          <w:bottom w:val="nil"/>
          <w:right w:val="nil"/>
          <w:between w:val="nil"/>
        </w:pBdr>
        <w:spacing w:line="275" w:lineRule="auto"/>
      </w:pPr>
      <w:r>
        <w:rPr>
          <w:b/>
          <w:bCs/>
          <w:color w:val="1F1F1F"/>
        </w:rPr>
        <w:t>Distance Calculation:</w:t>
      </w:r>
      <w:r>
        <w:rPr>
          <w:color w:val="1F1F1F"/>
        </w:rPr>
        <w:t xml:space="preserve"> Euclidean distance to </w:t>
      </w:r>
      <w:r>
        <w:rPr>
          <w:noProof/>
          <w:color w:val="1F1F1F"/>
        </w:rPr>
        <w:drawing>
          <wp:inline distT="19050" distB="19050" distL="19050" distR="19050" wp14:anchorId="5A9DEBC0" wp14:editId="776A0242">
            <wp:extent cx="258128" cy="242483"/>
            <wp:effectExtent l="0" t="0" r="0" b="0"/>
            <wp:docPr id="2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3"/>
                    <a:srcRect/>
                    <a:stretch>
                      <a:fillRect/>
                    </a:stretch>
                  </pic:blipFill>
                  <pic:spPr>
                    <a:xfrm>
                      <a:off x="0" y="0"/>
                      <a:ext cx="258128" cy="242483"/>
                    </a:xfrm>
                    <a:prstGeom prst="rect">
                      <a:avLst/>
                    </a:prstGeom>
                    <a:ln/>
                  </pic:spPr>
                </pic:pic>
              </a:graphicData>
            </a:graphic>
          </wp:inline>
        </w:drawing>
      </w:r>
      <w:r>
        <w:rPr>
          <w:color w:val="1F1F1F"/>
        </w:rPr>
        <w:t xml:space="preserve"> (</w:t>
      </w:r>
      <w:r>
        <w:rPr>
          <w:noProof/>
          <w:color w:val="1F1F1F"/>
        </w:rPr>
        <w:drawing>
          <wp:inline distT="19050" distB="19050" distL="19050" distR="19050" wp14:anchorId="38E59231" wp14:editId="5A263126">
            <wp:extent cx="205621" cy="236083"/>
            <wp:effectExtent l="0" t="0" r="0" b="0"/>
            <wp:docPr id="29"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39"/>
                    <a:srcRect/>
                    <a:stretch>
                      <a:fillRect/>
                    </a:stretch>
                  </pic:blipFill>
                  <pic:spPr>
                    <a:xfrm>
                      <a:off x="0" y="0"/>
                      <a:ext cx="205621" cy="236083"/>
                    </a:xfrm>
                    <a:prstGeom prst="rect">
                      <a:avLst/>
                    </a:prstGeom>
                    <a:ln/>
                  </pic:spPr>
                </pic:pic>
              </a:graphicData>
            </a:graphic>
          </wp:inline>
        </w:drawing>
      </w:r>
      <w:r>
        <w:rPr>
          <w:color w:val="1F1F1F"/>
        </w:rPr>
        <w:t xml:space="preserve">) and </w:t>
      </w:r>
      <w:r>
        <w:rPr>
          <w:noProof/>
          <w:color w:val="1F1F1F"/>
        </w:rPr>
        <w:drawing>
          <wp:inline distT="19050" distB="19050" distL="19050" distR="19050" wp14:anchorId="0638665C" wp14:editId="3CBB8BF2">
            <wp:extent cx="258128" cy="242483"/>
            <wp:effectExtent l="0" t="0" r="0" b="0"/>
            <wp:docPr id="31"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4"/>
                    <a:srcRect/>
                    <a:stretch>
                      <a:fillRect/>
                    </a:stretch>
                  </pic:blipFill>
                  <pic:spPr>
                    <a:xfrm>
                      <a:off x="0" y="0"/>
                      <a:ext cx="258128" cy="242483"/>
                    </a:xfrm>
                    <a:prstGeom prst="rect">
                      <a:avLst/>
                    </a:prstGeom>
                    <a:ln/>
                  </pic:spPr>
                </pic:pic>
              </a:graphicData>
            </a:graphic>
          </wp:inline>
        </w:drawing>
      </w:r>
      <w:r>
        <w:rPr>
          <w:color w:val="1F1F1F"/>
        </w:rPr>
        <w:t xml:space="preserve"> (</w:t>
      </w:r>
      <w:r>
        <w:rPr>
          <w:noProof/>
          <w:color w:val="1F1F1F"/>
        </w:rPr>
        <w:drawing>
          <wp:inline distT="19050" distB="19050" distL="19050" distR="19050" wp14:anchorId="01F4A96C" wp14:editId="221433EE">
            <wp:extent cx="205621" cy="236083"/>
            <wp:effectExtent l="0" t="0" r="0" b="0"/>
            <wp:docPr id="33"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40"/>
                    <a:srcRect/>
                    <a:stretch>
                      <a:fillRect/>
                    </a:stretch>
                  </pic:blipFill>
                  <pic:spPr>
                    <a:xfrm>
                      <a:off x="0" y="0"/>
                      <a:ext cx="205621" cy="236083"/>
                    </a:xfrm>
                    <a:prstGeom prst="rect">
                      <a:avLst/>
                    </a:prstGeom>
                    <a:ln/>
                  </pic:spPr>
                </pic:pic>
              </a:graphicData>
            </a:graphic>
          </wp:inline>
        </w:drawing>
      </w:r>
      <w:r>
        <w:rPr>
          <w:color w:val="1F1F1F"/>
        </w:rPr>
        <w:t>).</w:t>
      </w:r>
      <w:r>
        <w:rPr>
          <w:color w:val="444746"/>
          <w:sz w:val="24"/>
          <w:szCs w:val="24"/>
          <w:vertAlign w:val="superscript"/>
        </w:rPr>
        <w:t>24</w:t>
      </w:r>
      <w:r>
        <w:rPr>
          <w:color w:val="000000"/>
        </w:rPr>
        <w:br/>
      </w:r>
      <w:r>
        <w:rPr>
          <w:noProof/>
          <w:color w:val="000000"/>
        </w:rPr>
        <w:drawing>
          <wp:inline distT="19050" distB="19050" distL="19050" distR="19050" wp14:anchorId="7C1904EE" wp14:editId="66DF1CA3">
            <wp:extent cx="5905500" cy="774492"/>
            <wp:effectExtent l="0" t="0" r="0" b="0"/>
            <wp:docPr id="35"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41"/>
                    <a:srcRect/>
                    <a:stretch>
                      <a:fillRect/>
                    </a:stretch>
                  </pic:blipFill>
                  <pic:spPr>
                    <a:xfrm>
                      <a:off x="0" y="0"/>
                      <a:ext cx="5905500" cy="774492"/>
                    </a:xfrm>
                    <a:prstGeom prst="rect">
                      <a:avLst/>
                    </a:prstGeom>
                    <a:ln/>
                  </pic:spPr>
                </pic:pic>
              </a:graphicData>
            </a:graphic>
          </wp:inline>
        </w:drawing>
      </w:r>
    </w:p>
    <w:p w14:paraId="3D434778" w14:textId="77777777" w:rsidR="00AF5863" w:rsidRDefault="00000000">
      <w:pPr>
        <w:numPr>
          <w:ilvl w:val="0"/>
          <w:numId w:val="2"/>
        </w:numPr>
        <w:pBdr>
          <w:top w:val="nil"/>
          <w:left w:val="nil"/>
          <w:bottom w:val="nil"/>
          <w:right w:val="nil"/>
          <w:between w:val="nil"/>
        </w:pBdr>
        <w:spacing w:after="120" w:line="275" w:lineRule="auto"/>
      </w:pPr>
      <w:r>
        <w:rPr>
          <w:b/>
          <w:bCs/>
          <w:color w:val="1F1F1F"/>
        </w:rPr>
        <w:t>Relative Closeness (</w:t>
      </w:r>
      <w:r>
        <w:rPr>
          <w:b/>
          <w:bCs/>
          <w:noProof/>
          <w:color w:val="1F1F1F"/>
        </w:rPr>
        <w:drawing>
          <wp:inline distT="19050" distB="19050" distL="19050" distR="19050" wp14:anchorId="185A94ED" wp14:editId="660FF74D">
            <wp:extent cx="218837" cy="242284"/>
            <wp:effectExtent l="0" t="0" r="0" b="0"/>
            <wp:docPr id="37"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42"/>
                    <a:srcRect/>
                    <a:stretch>
                      <a:fillRect/>
                    </a:stretch>
                  </pic:blipFill>
                  <pic:spPr>
                    <a:xfrm>
                      <a:off x="0" y="0"/>
                      <a:ext cx="218837" cy="242284"/>
                    </a:xfrm>
                    <a:prstGeom prst="rect">
                      <a:avLst/>
                    </a:prstGeom>
                    <a:ln/>
                  </pic:spPr>
                </pic:pic>
              </a:graphicData>
            </a:graphic>
          </wp:inline>
        </w:drawing>
      </w:r>
      <w:r>
        <w:rPr>
          <w:b/>
          <w:bCs/>
          <w:color w:val="1F1F1F"/>
        </w:rPr>
        <w:t>):</w:t>
      </w:r>
      <w:r>
        <w:rPr>
          <w:color w:val="000000"/>
        </w:rPr>
        <w:br/>
      </w:r>
      <w:r>
        <w:rPr>
          <w:noProof/>
          <w:color w:val="000000"/>
        </w:rPr>
        <w:drawing>
          <wp:inline distT="19050" distB="19050" distL="19050" distR="19050" wp14:anchorId="0D8F2F73" wp14:editId="491C0686">
            <wp:extent cx="5905500" cy="645410"/>
            <wp:effectExtent l="0" t="0" r="0" b="0"/>
            <wp:docPr id="39"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43"/>
                    <a:srcRect/>
                    <a:stretch>
                      <a:fillRect/>
                    </a:stretch>
                  </pic:blipFill>
                  <pic:spPr>
                    <a:xfrm>
                      <a:off x="0" y="0"/>
                      <a:ext cx="5905500" cy="645410"/>
                    </a:xfrm>
                    <a:prstGeom prst="rect">
                      <a:avLst/>
                    </a:prstGeom>
                    <a:ln/>
                  </pic:spPr>
                </pic:pic>
              </a:graphicData>
            </a:graphic>
          </wp:inline>
        </w:drawing>
      </w:r>
    </w:p>
    <w:p w14:paraId="59199831" w14:textId="77777777" w:rsidR="00AF5863" w:rsidRDefault="00000000">
      <w:pPr>
        <w:pBdr>
          <w:top w:val="nil"/>
          <w:left w:val="nil"/>
          <w:bottom w:val="nil"/>
          <w:right w:val="nil"/>
          <w:between w:val="nil"/>
        </w:pBdr>
        <w:spacing w:before="240" w:after="150" w:line="275" w:lineRule="auto"/>
        <w:rPr>
          <w:color w:val="444746"/>
          <w:sz w:val="24"/>
          <w:szCs w:val="24"/>
          <w:vertAlign w:val="superscript"/>
        </w:rPr>
      </w:pPr>
      <w:r>
        <w:rPr>
          <w:color w:val="1F1F1F"/>
        </w:rPr>
        <w:t xml:space="preserve">An alternative with </w:t>
      </w:r>
      <w:r>
        <w:rPr>
          <w:noProof/>
          <w:color w:val="1F1F1F"/>
        </w:rPr>
        <w:drawing>
          <wp:inline distT="19050" distB="19050" distL="19050" distR="19050" wp14:anchorId="533321EA" wp14:editId="6BA8E2AD">
            <wp:extent cx="556974" cy="239808"/>
            <wp:effectExtent l="0" t="0" r="0" b="0"/>
            <wp:docPr id="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4"/>
                    <a:srcRect/>
                    <a:stretch>
                      <a:fillRect/>
                    </a:stretch>
                  </pic:blipFill>
                  <pic:spPr>
                    <a:xfrm>
                      <a:off x="0" y="0"/>
                      <a:ext cx="556974" cy="239808"/>
                    </a:xfrm>
                    <a:prstGeom prst="rect">
                      <a:avLst/>
                    </a:prstGeom>
                    <a:ln/>
                  </pic:spPr>
                </pic:pic>
              </a:graphicData>
            </a:graphic>
          </wp:inline>
        </w:drawing>
      </w:r>
      <w:r>
        <w:rPr>
          <w:color w:val="1F1F1F"/>
        </w:rPr>
        <w:t xml:space="preserve"> is the preferred EOL strategy.</w:t>
      </w:r>
      <w:r>
        <w:rPr>
          <w:color w:val="444746"/>
          <w:sz w:val="24"/>
          <w:szCs w:val="24"/>
          <w:vertAlign w:val="superscript"/>
        </w:rPr>
        <w:t>25</w:t>
      </w:r>
      <w:r>
        <w:rPr>
          <w:color w:val="1F1F1F"/>
        </w:rPr>
        <w:t xml:space="preserve"> Hybrid frameworks like AHP-TOPSIS are increasingly used to prioritize reverse supply chain alternatives, with decentralized/hybrid recycling often ranking highest in cost-sensitive contexts.</w:t>
      </w:r>
      <w:r>
        <w:rPr>
          <w:color w:val="444746"/>
          <w:sz w:val="24"/>
          <w:szCs w:val="24"/>
          <w:vertAlign w:val="superscript"/>
        </w:rPr>
        <w:t>4</w:t>
      </w:r>
    </w:p>
    <w:p w14:paraId="45F06239" w14:textId="77777777" w:rsidR="00AF5863" w:rsidRDefault="00000000">
      <w:pPr>
        <w:pStyle w:val="Heading2"/>
        <w:spacing w:before="0" w:after="120" w:line="275" w:lineRule="auto"/>
        <w:rPr>
          <w:color w:val="1F1F1F"/>
        </w:rPr>
      </w:pPr>
      <w:r>
        <w:rPr>
          <w:color w:val="1F1F1F"/>
        </w:rPr>
        <w:t>The Digital Product Passport (DPP) and AAS</w:t>
      </w:r>
    </w:p>
    <w:p w14:paraId="31F4F70E" w14:textId="77777777" w:rsidR="00AF5863" w:rsidRDefault="00000000">
      <w:pPr>
        <w:pBdr>
          <w:top w:val="nil"/>
          <w:left w:val="nil"/>
          <w:bottom w:val="nil"/>
          <w:right w:val="nil"/>
          <w:between w:val="nil"/>
        </w:pBdr>
        <w:spacing w:after="150" w:line="275" w:lineRule="auto"/>
        <w:rPr>
          <w:color w:val="444746"/>
          <w:sz w:val="24"/>
          <w:szCs w:val="24"/>
          <w:vertAlign w:val="superscript"/>
        </w:rPr>
      </w:pPr>
      <w:r>
        <w:rPr>
          <w:color w:val="1F1F1F"/>
        </w:rPr>
        <w:t>Under EU Regulation 2023/1542, battery passports are mandatory for EV batteries (&gt;2 kWh) by February 2027.</w:t>
      </w:r>
      <w:r>
        <w:rPr>
          <w:color w:val="444746"/>
          <w:sz w:val="24"/>
          <w:szCs w:val="24"/>
          <w:vertAlign w:val="superscript"/>
        </w:rPr>
        <w:t>1</w:t>
      </w:r>
      <w:r>
        <w:rPr>
          <w:color w:val="1F1F1F"/>
        </w:rPr>
        <w:t xml:space="preserve"> The Asset Administration Shell (AAS) provides the standardized digital </w:t>
      </w:r>
      <w:r>
        <w:rPr>
          <w:color w:val="1F1F1F"/>
        </w:rPr>
        <w:lastRenderedPageBreak/>
        <w:t>representation for these "digital twins".</w:t>
      </w:r>
      <w:r>
        <w:rPr>
          <w:color w:val="444746"/>
          <w:sz w:val="24"/>
          <w:szCs w:val="24"/>
          <w:vertAlign w:val="superscript"/>
        </w:rPr>
        <w:t>27</w:t>
      </w:r>
    </w:p>
    <w:p w14:paraId="1DB69F77" w14:textId="77777777" w:rsidR="00AF5863" w:rsidRDefault="00AF5863">
      <w:pPr>
        <w:pBdr>
          <w:top w:val="nil"/>
          <w:left w:val="nil"/>
          <w:bottom w:val="nil"/>
          <w:right w:val="nil"/>
          <w:between w:val="nil"/>
        </w:pBdr>
        <w:spacing w:line="275" w:lineRule="auto"/>
        <w:rPr>
          <w:color w:val="444746"/>
          <w:sz w:val="24"/>
          <w:szCs w:val="24"/>
          <w:vertAlign w:val="superscript"/>
        </w:rPr>
      </w:pPr>
    </w:p>
    <w:tbl>
      <w:tblPr>
        <w:tblStyle w:val="a0"/>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AF5863" w14:paraId="4F5060F9"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21067BC" w14:textId="77777777" w:rsidR="00AF5863" w:rsidRDefault="00000000">
            <w:pPr>
              <w:pBdr>
                <w:top w:val="nil"/>
                <w:left w:val="nil"/>
                <w:bottom w:val="nil"/>
                <w:right w:val="nil"/>
                <w:between w:val="nil"/>
              </w:pBdr>
              <w:spacing w:before="120" w:after="120" w:line="275" w:lineRule="auto"/>
              <w:rPr>
                <w:b/>
                <w:bCs/>
                <w:color w:val="1F1F1F"/>
              </w:rPr>
            </w:pPr>
            <w:r>
              <w:rPr>
                <w:b/>
                <w:bCs/>
                <w:color w:val="1F1F1F"/>
              </w:rPr>
              <w:t>Milestone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A68400F" w14:textId="77777777" w:rsidR="00AF5863" w:rsidRDefault="00000000">
            <w:pPr>
              <w:pBdr>
                <w:top w:val="nil"/>
                <w:left w:val="nil"/>
                <w:bottom w:val="nil"/>
                <w:right w:val="nil"/>
                <w:between w:val="nil"/>
              </w:pBdr>
              <w:spacing w:before="120" w:after="120" w:line="275" w:lineRule="auto"/>
              <w:rPr>
                <w:b/>
                <w:bCs/>
                <w:color w:val="1F1F1F"/>
              </w:rPr>
            </w:pPr>
            <w:r>
              <w:rPr>
                <w:b/>
                <w:bCs/>
                <w:color w:val="1F1F1F"/>
              </w:rPr>
              <w:t>Requirement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C6E521A" w14:textId="77777777" w:rsidR="00AF5863" w:rsidRDefault="00000000">
            <w:pPr>
              <w:pBdr>
                <w:top w:val="nil"/>
                <w:left w:val="nil"/>
                <w:bottom w:val="nil"/>
                <w:right w:val="nil"/>
                <w:between w:val="nil"/>
              </w:pBdr>
              <w:spacing w:before="120" w:after="120" w:line="275" w:lineRule="auto"/>
              <w:rPr>
                <w:b/>
                <w:bCs/>
                <w:color w:val="1F1F1F"/>
              </w:rPr>
            </w:pPr>
            <w:r>
              <w:rPr>
                <w:b/>
                <w:bCs/>
                <w:color w:val="1F1F1F"/>
              </w:rPr>
              <w:t>Category</w:t>
            </w:r>
          </w:p>
        </w:tc>
      </w:tr>
      <w:tr w:rsidR="00AF5863" w14:paraId="7FEC25C6"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A50CC4" w14:textId="77777777" w:rsidR="00AF5863" w:rsidRDefault="00000000">
            <w:pPr>
              <w:pBdr>
                <w:top w:val="nil"/>
                <w:left w:val="nil"/>
                <w:bottom w:val="nil"/>
                <w:right w:val="nil"/>
                <w:between w:val="nil"/>
              </w:pBdr>
              <w:spacing w:before="120" w:after="120" w:line="275" w:lineRule="auto"/>
              <w:rPr>
                <w:b/>
                <w:bCs/>
                <w:color w:val="1F1F1F"/>
              </w:rPr>
            </w:pPr>
            <w:r>
              <w:rPr>
                <w:b/>
                <w:bCs/>
                <w:color w:val="1F1F1F"/>
              </w:rPr>
              <w:t>Aug 2024</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BE7B304" w14:textId="77777777" w:rsidR="00AF5863" w:rsidRDefault="00000000">
            <w:pPr>
              <w:pBdr>
                <w:top w:val="nil"/>
                <w:left w:val="nil"/>
                <w:bottom w:val="nil"/>
                <w:right w:val="nil"/>
                <w:between w:val="nil"/>
              </w:pBdr>
              <w:spacing w:line="275" w:lineRule="auto"/>
              <w:rPr>
                <w:color w:val="444746"/>
                <w:sz w:val="24"/>
                <w:szCs w:val="24"/>
                <w:vertAlign w:val="superscript"/>
              </w:rPr>
            </w:pPr>
            <w:r>
              <w:rPr>
                <w:color w:val="1F1F1F"/>
              </w:rPr>
              <w:t xml:space="preserve">Access to BMS </w:t>
            </w:r>
            <w:proofErr w:type="spellStart"/>
            <w:r>
              <w:rPr>
                <w:color w:val="1F1F1F"/>
              </w:rPr>
              <w:t>SoH</w:t>
            </w:r>
            <w:proofErr w:type="spellEnd"/>
            <w:r>
              <w:rPr>
                <w:color w:val="1F1F1F"/>
              </w:rPr>
              <w:t xml:space="preserve"> parameters for owners.</w:t>
            </w:r>
            <w:r>
              <w:rPr>
                <w:color w:val="444746"/>
                <w:sz w:val="24"/>
                <w:szCs w:val="24"/>
                <w:vertAlign w:val="superscript"/>
              </w:rPr>
              <w:t>1</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2CB64EF" w14:textId="77777777" w:rsidR="00AF5863" w:rsidRDefault="00000000">
            <w:pPr>
              <w:pBdr>
                <w:top w:val="nil"/>
                <w:left w:val="nil"/>
                <w:bottom w:val="nil"/>
                <w:right w:val="nil"/>
                <w:between w:val="nil"/>
              </w:pBdr>
              <w:spacing w:before="120" w:after="120" w:line="275" w:lineRule="auto"/>
              <w:rPr>
                <w:color w:val="1F1F1F"/>
              </w:rPr>
            </w:pPr>
            <w:r>
              <w:rPr>
                <w:color w:val="1F1F1F"/>
              </w:rPr>
              <w:t>EV, LMT, Industrial.</w:t>
            </w:r>
          </w:p>
        </w:tc>
      </w:tr>
      <w:tr w:rsidR="00AF5863" w14:paraId="133F7E33"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1720E00" w14:textId="77777777" w:rsidR="00AF5863" w:rsidRDefault="00000000">
            <w:pPr>
              <w:pBdr>
                <w:top w:val="nil"/>
                <w:left w:val="nil"/>
                <w:bottom w:val="nil"/>
                <w:right w:val="nil"/>
                <w:between w:val="nil"/>
              </w:pBdr>
              <w:spacing w:before="120" w:after="120" w:line="275" w:lineRule="auto"/>
              <w:rPr>
                <w:b/>
                <w:bCs/>
                <w:color w:val="1F1F1F"/>
              </w:rPr>
            </w:pPr>
            <w:r>
              <w:rPr>
                <w:b/>
                <w:bCs/>
                <w:color w:val="1F1F1F"/>
              </w:rPr>
              <w:t>Feb 2025</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F8FCD39" w14:textId="77777777" w:rsidR="00AF5863" w:rsidRDefault="00000000">
            <w:pPr>
              <w:pBdr>
                <w:top w:val="nil"/>
                <w:left w:val="nil"/>
                <w:bottom w:val="nil"/>
                <w:right w:val="nil"/>
                <w:between w:val="nil"/>
              </w:pBdr>
              <w:spacing w:line="275" w:lineRule="auto"/>
              <w:rPr>
                <w:color w:val="444746"/>
                <w:sz w:val="24"/>
                <w:szCs w:val="24"/>
                <w:vertAlign w:val="superscript"/>
              </w:rPr>
            </w:pPr>
            <w:r>
              <w:rPr>
                <w:color w:val="1F1F1F"/>
              </w:rPr>
              <w:t>Mandatory carbon footprint declaration.</w:t>
            </w:r>
            <w:r>
              <w:rPr>
                <w:color w:val="444746"/>
                <w:sz w:val="24"/>
                <w:szCs w:val="24"/>
                <w:vertAlign w:val="superscript"/>
              </w:rPr>
              <w:t>2</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AC0D887" w14:textId="77777777" w:rsidR="00AF5863" w:rsidRDefault="00000000">
            <w:pPr>
              <w:pBdr>
                <w:top w:val="nil"/>
                <w:left w:val="nil"/>
                <w:bottom w:val="nil"/>
                <w:right w:val="nil"/>
                <w:between w:val="nil"/>
              </w:pBdr>
              <w:spacing w:before="120" w:after="120" w:line="275" w:lineRule="auto"/>
              <w:rPr>
                <w:color w:val="1F1F1F"/>
              </w:rPr>
            </w:pPr>
            <w:r>
              <w:rPr>
                <w:color w:val="1F1F1F"/>
              </w:rPr>
              <w:t>EV Batteries.</w:t>
            </w:r>
          </w:p>
        </w:tc>
      </w:tr>
      <w:tr w:rsidR="00AF5863" w14:paraId="13005CE3"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D92520" w14:textId="77777777" w:rsidR="00AF5863" w:rsidRDefault="00000000">
            <w:pPr>
              <w:pBdr>
                <w:top w:val="nil"/>
                <w:left w:val="nil"/>
                <w:bottom w:val="nil"/>
                <w:right w:val="nil"/>
                <w:between w:val="nil"/>
              </w:pBdr>
              <w:spacing w:before="120" w:after="120" w:line="275" w:lineRule="auto"/>
              <w:rPr>
                <w:b/>
                <w:bCs/>
                <w:color w:val="1F1F1F"/>
              </w:rPr>
            </w:pPr>
            <w:r>
              <w:rPr>
                <w:b/>
                <w:bCs/>
                <w:color w:val="1F1F1F"/>
              </w:rPr>
              <w:t>Feb 2027</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671F1BF" w14:textId="77777777" w:rsidR="00AF5863" w:rsidRDefault="00000000">
            <w:pPr>
              <w:pBdr>
                <w:top w:val="nil"/>
                <w:left w:val="nil"/>
                <w:bottom w:val="nil"/>
                <w:right w:val="nil"/>
                <w:between w:val="nil"/>
              </w:pBdr>
              <w:spacing w:line="275" w:lineRule="auto"/>
              <w:rPr>
                <w:color w:val="444746"/>
                <w:sz w:val="24"/>
                <w:szCs w:val="24"/>
                <w:vertAlign w:val="superscript"/>
              </w:rPr>
            </w:pPr>
            <w:r>
              <w:rPr>
                <w:color w:val="1F1F1F"/>
              </w:rPr>
              <w:t>Mandatory Digital Battery Passport (DPP).</w:t>
            </w:r>
            <w:r>
              <w:rPr>
                <w:color w:val="444746"/>
                <w:sz w:val="24"/>
                <w:szCs w:val="24"/>
                <w:vertAlign w:val="superscript"/>
              </w:rPr>
              <w:t>2</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C542447" w14:textId="77777777" w:rsidR="00AF5863" w:rsidRDefault="00000000">
            <w:pPr>
              <w:pBdr>
                <w:top w:val="nil"/>
                <w:left w:val="nil"/>
                <w:bottom w:val="nil"/>
                <w:right w:val="nil"/>
                <w:between w:val="nil"/>
              </w:pBdr>
              <w:spacing w:before="120" w:after="120" w:line="275" w:lineRule="auto"/>
              <w:rPr>
                <w:color w:val="1F1F1F"/>
              </w:rPr>
            </w:pPr>
            <w:r>
              <w:rPr>
                <w:color w:val="1F1F1F"/>
              </w:rPr>
              <w:t>EV &amp; Industrial (&gt; 2kWh).</w:t>
            </w:r>
          </w:p>
        </w:tc>
      </w:tr>
      <w:tr w:rsidR="00AF5863" w14:paraId="59531E2E"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FF82092" w14:textId="77777777" w:rsidR="00AF5863" w:rsidRDefault="00000000">
            <w:pPr>
              <w:pBdr>
                <w:top w:val="nil"/>
                <w:left w:val="nil"/>
                <w:bottom w:val="nil"/>
                <w:right w:val="nil"/>
                <w:between w:val="nil"/>
              </w:pBdr>
              <w:spacing w:before="120" w:after="120" w:line="275" w:lineRule="auto"/>
              <w:rPr>
                <w:b/>
                <w:bCs/>
                <w:color w:val="1F1F1F"/>
              </w:rPr>
            </w:pPr>
            <w:r>
              <w:rPr>
                <w:b/>
                <w:bCs/>
                <w:color w:val="1F1F1F"/>
              </w:rPr>
              <w:t>Aug 2028</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D064C0B" w14:textId="77777777" w:rsidR="00AF5863" w:rsidRDefault="00000000">
            <w:pPr>
              <w:pBdr>
                <w:top w:val="nil"/>
                <w:left w:val="nil"/>
                <w:bottom w:val="nil"/>
                <w:right w:val="nil"/>
                <w:between w:val="nil"/>
              </w:pBdr>
              <w:spacing w:line="275" w:lineRule="auto"/>
              <w:rPr>
                <w:color w:val="444746"/>
                <w:sz w:val="24"/>
                <w:szCs w:val="24"/>
                <w:vertAlign w:val="superscript"/>
              </w:rPr>
            </w:pPr>
            <w:r>
              <w:rPr>
                <w:color w:val="1F1F1F"/>
              </w:rPr>
              <w:t>Recycled content minimums (e.g., 16% Cobalt).</w:t>
            </w:r>
            <w:r>
              <w:rPr>
                <w:color w:val="444746"/>
                <w:sz w:val="24"/>
                <w:szCs w:val="24"/>
                <w:vertAlign w:val="superscript"/>
              </w:rPr>
              <w:t>2</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A01505" w14:textId="77777777" w:rsidR="00AF5863" w:rsidRDefault="00000000">
            <w:pPr>
              <w:pBdr>
                <w:top w:val="nil"/>
                <w:left w:val="nil"/>
                <w:bottom w:val="nil"/>
                <w:right w:val="nil"/>
                <w:between w:val="nil"/>
              </w:pBdr>
              <w:spacing w:before="120" w:after="120" w:line="275" w:lineRule="auto"/>
              <w:rPr>
                <w:color w:val="1F1F1F"/>
              </w:rPr>
            </w:pPr>
            <w:r>
              <w:rPr>
                <w:color w:val="1F1F1F"/>
              </w:rPr>
              <w:t>EV, SLI, Industrial.</w:t>
            </w:r>
          </w:p>
        </w:tc>
      </w:tr>
    </w:tbl>
    <w:p w14:paraId="64B9C1D8" w14:textId="77777777" w:rsidR="00AF5863" w:rsidRDefault="00000000">
      <w:pPr>
        <w:pBdr>
          <w:top w:val="nil"/>
          <w:left w:val="nil"/>
          <w:bottom w:val="nil"/>
          <w:right w:val="nil"/>
          <w:between w:val="nil"/>
        </w:pBdr>
        <w:spacing w:after="150" w:line="275" w:lineRule="auto"/>
        <w:rPr>
          <w:color w:val="1F1F1F"/>
        </w:rPr>
      </w:pPr>
      <w:r>
        <w:rPr>
          <w:color w:val="1F1F1F"/>
        </w:rPr>
        <w:t>The DPP records static data (chemistry, manufacturing) and dynamic data (charging cycles, temperature extremes).</w:t>
      </w:r>
      <w:r>
        <w:rPr>
          <w:color w:val="444746"/>
          <w:sz w:val="24"/>
          <w:szCs w:val="24"/>
          <w:vertAlign w:val="superscript"/>
        </w:rPr>
        <w:t>29</w:t>
      </w:r>
      <w:r>
        <w:rPr>
          <w:color w:val="1F1F1F"/>
        </w:rPr>
        <w:t xml:space="preserve"> Pilot implementations, such as the 2024 Volvo EX90 battery passport, demonstrate using blockchain to track degradation and environmental footprint throughout a 15-year lifecycle.</w:t>
      </w:r>
    </w:p>
    <w:p w14:paraId="454E7454" w14:textId="77777777" w:rsidR="00AF5863" w:rsidRDefault="00000000">
      <w:pPr>
        <w:pStyle w:val="Heading2"/>
        <w:spacing w:before="0" w:after="120" w:line="275" w:lineRule="auto"/>
        <w:rPr>
          <w:color w:val="1F1F1F"/>
        </w:rPr>
      </w:pPr>
      <w:r>
        <w:rPr>
          <w:color w:val="1F1F1F"/>
        </w:rPr>
        <w:t>Techno-Economic Analysis of Second-Life Applications</w:t>
      </w:r>
    </w:p>
    <w:p w14:paraId="6DD193D4" w14:textId="77777777" w:rsidR="00AF5863" w:rsidRDefault="00000000">
      <w:pPr>
        <w:pBdr>
          <w:top w:val="nil"/>
          <w:left w:val="nil"/>
          <w:bottom w:val="nil"/>
          <w:right w:val="nil"/>
          <w:between w:val="nil"/>
        </w:pBdr>
        <w:spacing w:after="150" w:line="275" w:lineRule="auto"/>
        <w:rPr>
          <w:color w:val="444746"/>
          <w:sz w:val="24"/>
          <w:szCs w:val="24"/>
          <w:vertAlign w:val="superscript"/>
        </w:rPr>
      </w:pPr>
      <w:r>
        <w:rPr>
          <w:color w:val="1F1F1F"/>
        </w:rPr>
        <w:t>The economic viability of second-life battery energy storage systems (SLBESS) is driven by repurposing costs and residual value.</w:t>
      </w:r>
      <w:r>
        <w:rPr>
          <w:color w:val="444746"/>
          <w:sz w:val="24"/>
          <w:szCs w:val="24"/>
          <w:vertAlign w:val="superscript"/>
        </w:rPr>
        <w:t>31</w:t>
      </w:r>
      <w:r>
        <w:rPr>
          <w:color w:val="1F1F1F"/>
        </w:rPr>
        <w:t xml:space="preserve"> SLBESS can achieve 49.2% higher NPV and 13.8% lower operational levelized cost of storage (LCOS) than new batteries.</w:t>
      </w:r>
      <w:r>
        <w:rPr>
          <w:color w:val="444746"/>
          <w:sz w:val="24"/>
          <w:szCs w:val="24"/>
          <w:vertAlign w:val="superscript"/>
        </w:rPr>
        <w:t>31</w:t>
      </w:r>
      <w:r>
        <w:rPr>
          <w:color w:val="1F1F1F"/>
        </w:rPr>
        <w:t xml:space="preserve"> Projects typically break even when second-life costs are less than 60% of new battery prices.</w:t>
      </w:r>
      <w:r>
        <w:rPr>
          <w:color w:val="444746"/>
          <w:sz w:val="24"/>
          <w:szCs w:val="24"/>
          <w:vertAlign w:val="superscript"/>
        </w:rPr>
        <w:t>33</w:t>
      </w:r>
      <w:r>
        <w:rPr>
          <w:color w:val="1F1F1F"/>
        </w:rPr>
        <w:t xml:space="preserve"> LFP batteries are particularly robust, retaining over 40-75% of their initial market value at retirement.</w:t>
      </w:r>
      <w:r>
        <w:rPr>
          <w:color w:val="444746"/>
          <w:sz w:val="24"/>
          <w:szCs w:val="24"/>
          <w:vertAlign w:val="superscript"/>
        </w:rPr>
        <w:t>32</w:t>
      </w:r>
    </w:p>
    <w:p w14:paraId="1C2119A3" w14:textId="77777777" w:rsidR="00AF5863" w:rsidRDefault="00000000">
      <w:pPr>
        <w:pStyle w:val="Heading2"/>
        <w:spacing w:before="0" w:after="120" w:line="275" w:lineRule="auto"/>
        <w:rPr>
          <w:color w:val="1F1F1F"/>
        </w:rPr>
      </w:pPr>
      <w:r>
        <w:rPr>
          <w:color w:val="1F1F1F"/>
        </w:rPr>
        <w:t>Conclusion</w:t>
      </w:r>
    </w:p>
    <w:p w14:paraId="3CE1522A" w14:textId="77777777" w:rsidR="00AF5863" w:rsidRDefault="00000000">
      <w:pPr>
        <w:pBdr>
          <w:top w:val="nil"/>
          <w:left w:val="nil"/>
          <w:bottom w:val="nil"/>
          <w:right w:val="nil"/>
          <w:between w:val="nil"/>
        </w:pBdr>
        <w:spacing w:after="255" w:line="275" w:lineRule="auto"/>
        <w:rPr>
          <w:color w:val="1F1F1F"/>
        </w:rPr>
      </w:pPr>
      <w:r>
        <w:rPr>
          <w:color w:val="1F1F1F"/>
        </w:rPr>
        <w:t>The integration of deep learning (LSTM, GNNs) with decision science (TOPSIS) within the DPP ecosystem creates a transparent framework for battery lifecycle management. This architecture ensures safety, regulatory compliance, and economic optimization, transforming retired batteries from waste into strategic assets for the circular economy.</w:t>
      </w:r>
    </w:p>
    <w:p w14:paraId="2B19E7D5" w14:textId="77777777" w:rsidR="00AF5863" w:rsidRDefault="00000000">
      <w:pPr>
        <w:pStyle w:val="Heading4"/>
        <w:spacing w:before="0"/>
      </w:pPr>
      <w:r>
        <w:t>Works cited</w:t>
      </w:r>
    </w:p>
    <w:p w14:paraId="1BDF904D" w14:textId="77777777" w:rsidR="00AF5863" w:rsidRDefault="00000000">
      <w:pPr>
        <w:numPr>
          <w:ilvl w:val="0"/>
          <w:numId w:val="3"/>
        </w:numPr>
        <w:pBdr>
          <w:top w:val="nil"/>
          <w:left w:val="nil"/>
          <w:bottom w:val="nil"/>
          <w:right w:val="nil"/>
          <w:between w:val="nil"/>
        </w:pBdr>
      </w:pPr>
      <w:r>
        <w:rPr>
          <w:sz w:val="24"/>
          <w:szCs w:val="24"/>
        </w:rPr>
        <w:t xml:space="preserve">Regulation (EU) 2023/1542 on batteries and waste batteries - UNECE, accessed April 28, 2026, </w:t>
      </w:r>
      <w:hyperlink r:id="rId45">
        <w:r>
          <w:rPr>
            <w:color w:val="0000EE"/>
            <w:sz w:val="24"/>
            <w:szCs w:val="24"/>
            <w:u w:val="single"/>
          </w:rPr>
          <w:t>https://unece.org/sites/default/files/2024-10/4_EU_Rev.1.pdf</w:t>
        </w:r>
      </w:hyperlink>
    </w:p>
    <w:p w14:paraId="6AAF9D1B" w14:textId="77777777" w:rsidR="00AF5863" w:rsidRDefault="00000000">
      <w:pPr>
        <w:numPr>
          <w:ilvl w:val="0"/>
          <w:numId w:val="3"/>
        </w:numPr>
        <w:pBdr>
          <w:top w:val="nil"/>
          <w:left w:val="nil"/>
          <w:bottom w:val="nil"/>
          <w:right w:val="nil"/>
          <w:between w:val="nil"/>
        </w:pBdr>
      </w:pPr>
      <w:r>
        <w:rPr>
          <w:sz w:val="24"/>
          <w:szCs w:val="24"/>
        </w:rPr>
        <w:t xml:space="preserve">EU New Battery Regulation (EU) 2023/1542 | TÜV </w:t>
      </w:r>
      <w:proofErr w:type="spellStart"/>
      <w:r>
        <w:rPr>
          <w:sz w:val="24"/>
          <w:szCs w:val="24"/>
        </w:rPr>
        <w:t>Rheinland</w:t>
      </w:r>
      <w:proofErr w:type="spellEnd"/>
      <w:r>
        <w:rPr>
          <w:sz w:val="24"/>
          <w:szCs w:val="24"/>
        </w:rPr>
        <w:t xml:space="preserve">, accessed April 28, 2026, </w:t>
      </w:r>
      <w:hyperlink r:id="rId46">
        <w:r>
          <w:rPr>
            <w:color w:val="0000EE"/>
            <w:sz w:val="24"/>
            <w:szCs w:val="24"/>
            <w:u w:val="single"/>
          </w:rPr>
          <w:t>https://www.tuv.com/landingpage/en/eu-new-battery-regulation-eu-2023-</w:t>
        </w:r>
        <w:r>
          <w:rPr>
            <w:color w:val="0000EE"/>
            <w:sz w:val="24"/>
            <w:szCs w:val="24"/>
            <w:u w:val="single"/>
          </w:rPr>
          <w:lastRenderedPageBreak/>
          <w:t>1542/</w:t>
        </w:r>
      </w:hyperlink>
    </w:p>
    <w:p w14:paraId="6E2B0B6B" w14:textId="77777777" w:rsidR="00AF5863" w:rsidRDefault="00000000">
      <w:pPr>
        <w:numPr>
          <w:ilvl w:val="0"/>
          <w:numId w:val="3"/>
        </w:numPr>
        <w:pBdr>
          <w:top w:val="nil"/>
          <w:left w:val="nil"/>
          <w:bottom w:val="nil"/>
          <w:right w:val="nil"/>
          <w:between w:val="nil"/>
        </w:pBdr>
      </w:pPr>
      <w:r>
        <w:rPr>
          <w:sz w:val="24"/>
          <w:szCs w:val="24"/>
        </w:rPr>
        <w:t xml:space="preserve">Framework for Selecting the Most Effective State of Health Method for Second-Life Lithium-Ion Batteries: A </w:t>
      </w:r>
      <w:proofErr w:type="spellStart"/>
      <w:r>
        <w:rPr>
          <w:sz w:val="24"/>
          <w:szCs w:val="24"/>
        </w:rPr>
        <w:t>Scientometric</w:t>
      </w:r>
      <w:proofErr w:type="spellEnd"/>
      <w:r>
        <w:rPr>
          <w:sz w:val="24"/>
          <w:szCs w:val="24"/>
        </w:rPr>
        <w:t xml:space="preserve"> and Multi-Criteria Decision Matrix Approach - MDPI, accessed April 28, 2026, </w:t>
      </w:r>
      <w:hyperlink r:id="rId47">
        <w:r>
          <w:rPr>
            <w:color w:val="0000EE"/>
            <w:sz w:val="24"/>
            <w:szCs w:val="24"/>
            <w:u w:val="single"/>
          </w:rPr>
          <w:t>https://www.mdpi.com/1996-1073/18/6/1527</w:t>
        </w:r>
      </w:hyperlink>
    </w:p>
    <w:p w14:paraId="0461F652" w14:textId="77777777" w:rsidR="00AF5863" w:rsidRDefault="00000000">
      <w:pPr>
        <w:numPr>
          <w:ilvl w:val="0"/>
          <w:numId w:val="3"/>
        </w:numPr>
        <w:pBdr>
          <w:top w:val="nil"/>
          <w:left w:val="nil"/>
          <w:bottom w:val="nil"/>
          <w:right w:val="nil"/>
          <w:between w:val="nil"/>
        </w:pBdr>
      </w:pPr>
      <w:r>
        <w:rPr>
          <w:sz w:val="24"/>
          <w:szCs w:val="24"/>
        </w:rPr>
        <w:t xml:space="preserve">Evaluation of reverse supply chain strategies for end-of-life EV batteries in Vietnam using AHP–TOPSIS - ResearchGate, accessed April 28, 2026, </w:t>
      </w:r>
      <w:hyperlink r:id="rId48">
        <w:r>
          <w:rPr>
            <w:color w:val="0000EE"/>
            <w:sz w:val="24"/>
            <w:szCs w:val="24"/>
            <w:u w:val="single"/>
          </w:rPr>
          <w:t>https://www.researchgate.net/publication/399455391_Evaluation_of_reverse_supply_chain_strategies_for_end-of-life_EV_batteries_in_Vietnam_using_AHP-TOPSIS</w:t>
        </w:r>
      </w:hyperlink>
    </w:p>
    <w:p w14:paraId="3D33513A" w14:textId="77777777" w:rsidR="00AF5863" w:rsidRDefault="00000000">
      <w:pPr>
        <w:numPr>
          <w:ilvl w:val="0"/>
          <w:numId w:val="3"/>
        </w:numPr>
        <w:pBdr>
          <w:top w:val="nil"/>
          <w:left w:val="nil"/>
          <w:bottom w:val="nil"/>
          <w:right w:val="nil"/>
          <w:between w:val="nil"/>
        </w:pBdr>
      </w:pPr>
      <w:r>
        <w:rPr>
          <w:sz w:val="24"/>
          <w:szCs w:val="24"/>
        </w:rPr>
        <w:t xml:space="preserve">Mathematical Model for SEI Growth under Open-Circuit Conditions - Scholar Commons, accessed April 28, 2026, </w:t>
      </w:r>
      <w:hyperlink r:id="rId49">
        <w:r>
          <w:rPr>
            <w:color w:val="0000EE"/>
            <w:sz w:val="24"/>
            <w:szCs w:val="24"/>
            <w:u w:val="single"/>
          </w:rPr>
          <w:t>https://scholarcommons.sc.edu/cgi/viewcontent.cgi?article=2172&amp;context=eche_facpub</w:t>
        </w:r>
      </w:hyperlink>
    </w:p>
    <w:p w14:paraId="74BFE2B4" w14:textId="77777777" w:rsidR="00AF5863" w:rsidRDefault="00000000">
      <w:pPr>
        <w:numPr>
          <w:ilvl w:val="0"/>
          <w:numId w:val="3"/>
        </w:numPr>
        <w:pBdr>
          <w:top w:val="nil"/>
          <w:left w:val="nil"/>
          <w:bottom w:val="nil"/>
          <w:right w:val="nil"/>
          <w:between w:val="nil"/>
        </w:pBdr>
      </w:pPr>
      <w:r>
        <w:rPr>
          <w:sz w:val="24"/>
          <w:szCs w:val="24"/>
        </w:rPr>
        <w:t xml:space="preserve">Creating a Simple Model for SEI Growth - </w:t>
      </w:r>
      <w:proofErr w:type="spellStart"/>
      <w:r>
        <w:rPr>
          <w:sz w:val="24"/>
          <w:szCs w:val="24"/>
        </w:rPr>
        <w:t>PyBaMM</w:t>
      </w:r>
      <w:proofErr w:type="spellEnd"/>
      <w:r>
        <w:rPr>
          <w:sz w:val="24"/>
          <w:szCs w:val="24"/>
        </w:rPr>
        <w:t xml:space="preserve"> documentation, accessed April 28, 2026, </w:t>
      </w:r>
      <w:hyperlink r:id="rId50">
        <w:r>
          <w:rPr>
            <w:color w:val="0000EE"/>
            <w:sz w:val="24"/>
            <w:szCs w:val="24"/>
            <w:u w:val="single"/>
          </w:rPr>
          <w:t>https://docs.pybamm.org/en/latest/source/examples/notebooks/creating_models/6-a-simple-SEI-model.html</w:t>
        </w:r>
      </w:hyperlink>
    </w:p>
    <w:p w14:paraId="0068FBEB" w14:textId="77777777" w:rsidR="00AF5863" w:rsidRDefault="00000000">
      <w:pPr>
        <w:numPr>
          <w:ilvl w:val="0"/>
          <w:numId w:val="3"/>
        </w:numPr>
        <w:pBdr>
          <w:top w:val="nil"/>
          <w:left w:val="nil"/>
          <w:bottom w:val="nil"/>
          <w:right w:val="nil"/>
          <w:between w:val="nil"/>
        </w:pBdr>
      </w:pPr>
      <w:r>
        <w:rPr>
          <w:sz w:val="24"/>
          <w:szCs w:val="24"/>
        </w:rPr>
        <w:t xml:space="preserve">A Comparison of Standard SEI Growth Models in the Context of Battery Formation - Pure, accessed April 28, 2026, </w:t>
      </w:r>
      <w:hyperlink r:id="rId51">
        <w:r>
          <w:rPr>
            <w:color w:val="0000EE"/>
            <w:sz w:val="24"/>
            <w:szCs w:val="24"/>
            <w:u w:val="single"/>
          </w:rPr>
          <w:t>https://pure-oai.bham.ac.uk/ws/portalfiles/portal/248096530/pdf.pdf</w:t>
        </w:r>
      </w:hyperlink>
    </w:p>
    <w:p w14:paraId="569528D5" w14:textId="77777777" w:rsidR="00AF5863" w:rsidRDefault="00000000">
      <w:pPr>
        <w:numPr>
          <w:ilvl w:val="0"/>
          <w:numId w:val="3"/>
        </w:numPr>
        <w:pBdr>
          <w:top w:val="nil"/>
          <w:left w:val="nil"/>
          <w:bottom w:val="nil"/>
          <w:right w:val="nil"/>
          <w:between w:val="nil"/>
        </w:pBdr>
      </w:pPr>
      <w:r>
        <w:rPr>
          <w:sz w:val="24"/>
          <w:szCs w:val="24"/>
        </w:rPr>
        <w:t xml:space="preserve">Mathematical Model for SEI Growth Under Open-Circuit Conditions - Scholar Commons, accessed April 28, 2026, </w:t>
      </w:r>
      <w:hyperlink r:id="rId52">
        <w:r>
          <w:rPr>
            <w:color w:val="0000EE"/>
            <w:sz w:val="24"/>
            <w:szCs w:val="24"/>
            <w:u w:val="single"/>
          </w:rPr>
          <w:t>https://scholarcommons.sc.edu/etd/6828/</w:t>
        </w:r>
      </w:hyperlink>
    </w:p>
    <w:p w14:paraId="334C51A4" w14:textId="77777777" w:rsidR="00AF5863" w:rsidRDefault="00000000">
      <w:pPr>
        <w:numPr>
          <w:ilvl w:val="0"/>
          <w:numId w:val="3"/>
        </w:numPr>
        <w:pBdr>
          <w:top w:val="nil"/>
          <w:left w:val="nil"/>
          <w:bottom w:val="nil"/>
          <w:right w:val="nil"/>
          <w:between w:val="nil"/>
        </w:pBdr>
      </w:pPr>
      <w:r>
        <w:rPr>
          <w:sz w:val="24"/>
          <w:szCs w:val="24"/>
        </w:rPr>
        <w:t xml:space="preserve">Battery State of Health Estimation Using LLM Framework - </w:t>
      </w:r>
      <w:proofErr w:type="spellStart"/>
      <w:r>
        <w:rPr>
          <w:sz w:val="24"/>
          <w:szCs w:val="24"/>
        </w:rPr>
        <w:t>arXiv</w:t>
      </w:r>
      <w:proofErr w:type="spellEnd"/>
      <w:r>
        <w:rPr>
          <w:sz w:val="24"/>
          <w:szCs w:val="24"/>
        </w:rPr>
        <w:t xml:space="preserve">, accessed April 28, 2026, </w:t>
      </w:r>
      <w:hyperlink r:id="rId53">
        <w:r>
          <w:rPr>
            <w:color w:val="0000EE"/>
            <w:sz w:val="24"/>
            <w:szCs w:val="24"/>
            <w:u w:val="single"/>
          </w:rPr>
          <w:t>https://arxiv.org/html/2501.18123v1</w:t>
        </w:r>
      </w:hyperlink>
    </w:p>
    <w:p w14:paraId="11E4D5C6" w14:textId="77777777" w:rsidR="00AF5863" w:rsidRDefault="00000000">
      <w:pPr>
        <w:numPr>
          <w:ilvl w:val="0"/>
          <w:numId w:val="3"/>
        </w:numPr>
        <w:pBdr>
          <w:top w:val="nil"/>
          <w:left w:val="nil"/>
          <w:bottom w:val="nil"/>
          <w:right w:val="nil"/>
          <w:between w:val="nil"/>
        </w:pBdr>
      </w:pPr>
      <w:r>
        <w:rPr>
          <w:sz w:val="24"/>
          <w:szCs w:val="24"/>
        </w:rPr>
        <w:t xml:space="preserve">LSTM - Derivation of Back propagation through time - </w:t>
      </w:r>
      <w:proofErr w:type="spellStart"/>
      <w:r>
        <w:rPr>
          <w:sz w:val="24"/>
          <w:szCs w:val="24"/>
        </w:rPr>
        <w:t>GeeksforGeeks</w:t>
      </w:r>
      <w:proofErr w:type="spellEnd"/>
      <w:r>
        <w:rPr>
          <w:sz w:val="24"/>
          <w:szCs w:val="24"/>
        </w:rPr>
        <w:t xml:space="preserve">, accessed April 28, 2026, </w:t>
      </w:r>
      <w:hyperlink r:id="rId54">
        <w:r>
          <w:rPr>
            <w:color w:val="0000EE"/>
            <w:sz w:val="24"/>
            <w:szCs w:val="24"/>
            <w:u w:val="single"/>
          </w:rPr>
          <w:t>https://www.geeksforgeeks.org/dsa/lstm-derivation-of-back-propagation-through-time/</w:t>
        </w:r>
      </w:hyperlink>
    </w:p>
    <w:p w14:paraId="12E9D490" w14:textId="77777777" w:rsidR="00AF5863" w:rsidRDefault="00000000">
      <w:pPr>
        <w:numPr>
          <w:ilvl w:val="0"/>
          <w:numId w:val="3"/>
        </w:numPr>
        <w:pBdr>
          <w:top w:val="nil"/>
          <w:left w:val="nil"/>
          <w:bottom w:val="nil"/>
          <w:right w:val="nil"/>
          <w:between w:val="nil"/>
        </w:pBdr>
      </w:pPr>
      <w:r>
        <w:rPr>
          <w:sz w:val="24"/>
          <w:szCs w:val="24"/>
        </w:rPr>
        <w:t xml:space="preserve">(PDF) Prediction of State-of-Health and Remaining-Useful-Life of Battery Based on Hybrid Neural Network Model - ResearchGate, accessed April 28, 2026, </w:t>
      </w:r>
      <w:hyperlink r:id="rId55">
        <w:r>
          <w:rPr>
            <w:color w:val="0000EE"/>
            <w:sz w:val="24"/>
            <w:szCs w:val="24"/>
            <w:u w:val="single"/>
          </w:rPr>
          <w:t>https://www.researchgate.net/publication/383922134_Prediction_of_State-of-Health_and_Remaining-Useful-Life_of_Battery_Based_on_Hybrid_Neural_Network_Model</w:t>
        </w:r>
      </w:hyperlink>
    </w:p>
    <w:p w14:paraId="2F8C64AA" w14:textId="77777777" w:rsidR="00AF5863" w:rsidRDefault="00000000">
      <w:pPr>
        <w:numPr>
          <w:ilvl w:val="0"/>
          <w:numId w:val="3"/>
        </w:numPr>
        <w:pBdr>
          <w:top w:val="nil"/>
          <w:left w:val="nil"/>
          <w:bottom w:val="nil"/>
          <w:right w:val="nil"/>
          <w:between w:val="nil"/>
        </w:pBdr>
      </w:pPr>
      <w:r>
        <w:rPr>
          <w:sz w:val="24"/>
          <w:szCs w:val="24"/>
        </w:rPr>
        <w:t xml:space="preserve">Accurate Prediction Approach of SOH for Lithium-Ion Batteries ..., accessed April 28, 2026, </w:t>
      </w:r>
      <w:hyperlink r:id="rId56">
        <w:r>
          <w:rPr>
            <w:color w:val="0000EE"/>
            <w:sz w:val="24"/>
            <w:szCs w:val="24"/>
            <w:u w:val="single"/>
          </w:rPr>
          <w:t>https://www.mdpi.com/2313-0105/9/3/177</w:t>
        </w:r>
      </w:hyperlink>
    </w:p>
    <w:p w14:paraId="37FEAB1F" w14:textId="77777777" w:rsidR="00AF5863" w:rsidRDefault="00000000">
      <w:pPr>
        <w:numPr>
          <w:ilvl w:val="0"/>
          <w:numId w:val="3"/>
        </w:numPr>
        <w:pBdr>
          <w:top w:val="nil"/>
          <w:left w:val="nil"/>
          <w:bottom w:val="nil"/>
          <w:right w:val="nil"/>
          <w:between w:val="nil"/>
        </w:pBdr>
      </w:pPr>
      <w:r>
        <w:rPr>
          <w:sz w:val="24"/>
          <w:szCs w:val="24"/>
        </w:rPr>
        <w:t xml:space="preserve">The Math Behind LSTM - Towards Data Science, accessed April 28, 2026, </w:t>
      </w:r>
      <w:hyperlink r:id="rId57">
        <w:r>
          <w:rPr>
            <w:color w:val="0000EE"/>
            <w:sz w:val="24"/>
            <w:szCs w:val="24"/>
            <w:u w:val="single"/>
          </w:rPr>
          <w:t>https://towardsdatascience.com/the-math-behind-lstm-9069b835289d/</w:t>
        </w:r>
      </w:hyperlink>
    </w:p>
    <w:p w14:paraId="3FF7842D" w14:textId="77777777" w:rsidR="00AF5863" w:rsidRDefault="00000000">
      <w:pPr>
        <w:numPr>
          <w:ilvl w:val="0"/>
          <w:numId w:val="3"/>
        </w:numPr>
        <w:pBdr>
          <w:top w:val="nil"/>
          <w:left w:val="nil"/>
          <w:bottom w:val="nil"/>
          <w:right w:val="nil"/>
          <w:between w:val="nil"/>
        </w:pBdr>
      </w:pPr>
      <w:r>
        <w:rPr>
          <w:sz w:val="24"/>
          <w:szCs w:val="24"/>
        </w:rPr>
        <w:t xml:space="preserve">SOH-KLSTM: A Hybrid Kolmogorov-Arnold Network and LSTM Model for Enhanced Lithium-Ion Battery Health Monitoring - </w:t>
      </w:r>
      <w:proofErr w:type="spellStart"/>
      <w:r>
        <w:rPr>
          <w:sz w:val="24"/>
          <w:szCs w:val="24"/>
        </w:rPr>
        <w:t>arXiv</w:t>
      </w:r>
      <w:proofErr w:type="spellEnd"/>
      <w:r>
        <w:rPr>
          <w:sz w:val="24"/>
          <w:szCs w:val="24"/>
        </w:rPr>
        <w:t xml:space="preserve">, accessed April 28, 2026, </w:t>
      </w:r>
      <w:hyperlink r:id="rId58">
        <w:r>
          <w:rPr>
            <w:color w:val="0000EE"/>
            <w:sz w:val="24"/>
            <w:szCs w:val="24"/>
            <w:u w:val="single"/>
          </w:rPr>
          <w:t>https://arxiv.org/html/2509.10496v1</w:t>
        </w:r>
      </w:hyperlink>
    </w:p>
    <w:p w14:paraId="159689DE" w14:textId="77777777" w:rsidR="00AF5863" w:rsidRDefault="00000000">
      <w:pPr>
        <w:numPr>
          <w:ilvl w:val="0"/>
          <w:numId w:val="3"/>
        </w:numPr>
        <w:pBdr>
          <w:top w:val="nil"/>
          <w:left w:val="nil"/>
          <w:bottom w:val="nil"/>
          <w:right w:val="nil"/>
          <w:between w:val="nil"/>
        </w:pBdr>
      </w:pPr>
      <w:r>
        <w:rPr>
          <w:sz w:val="24"/>
          <w:szCs w:val="24"/>
        </w:rPr>
        <w:t xml:space="preserve">Prediction of SOH and RUL for Li-Ion Batteries in EV Based on </w:t>
      </w:r>
      <w:proofErr w:type="spellStart"/>
      <w:r>
        <w:rPr>
          <w:sz w:val="24"/>
          <w:szCs w:val="24"/>
        </w:rPr>
        <w:t>AttentiveLSTM</w:t>
      </w:r>
      <w:proofErr w:type="spellEnd"/>
      <w:r>
        <w:rPr>
          <w:sz w:val="24"/>
          <w:szCs w:val="24"/>
        </w:rPr>
        <w:t xml:space="preserve"> Multi-Task Model - ResearchGate, accessed April 28, 2026, </w:t>
      </w:r>
      <w:hyperlink r:id="rId59">
        <w:r>
          <w:rPr>
            <w:color w:val="0000EE"/>
            <w:sz w:val="24"/>
            <w:szCs w:val="24"/>
            <w:u w:val="single"/>
          </w:rPr>
          <w:t>https://www.researchgate.net/publication/392379594_Prediction_of_SOH_and_RUL_for_Li-Ion_Batteries_in_EV_Based_on_AttentiveLSTM_Multi-Task_Model</w:t>
        </w:r>
      </w:hyperlink>
    </w:p>
    <w:p w14:paraId="4B33C31E" w14:textId="77777777" w:rsidR="00AF5863" w:rsidRDefault="00000000">
      <w:pPr>
        <w:numPr>
          <w:ilvl w:val="0"/>
          <w:numId w:val="3"/>
        </w:numPr>
        <w:pBdr>
          <w:top w:val="nil"/>
          <w:left w:val="nil"/>
          <w:bottom w:val="nil"/>
          <w:right w:val="nil"/>
          <w:between w:val="nil"/>
        </w:pBdr>
      </w:pPr>
      <w:r>
        <w:rPr>
          <w:sz w:val="24"/>
          <w:szCs w:val="24"/>
        </w:rPr>
        <w:t xml:space="preserve">New Fourier graph neural network could improve lithium-ion battery ..., accessed April 28, 2026, </w:t>
      </w:r>
      <w:hyperlink r:id="rId60">
        <w:r>
          <w:rPr>
            <w:color w:val="0000EE"/>
            <w:sz w:val="24"/>
            <w:szCs w:val="24"/>
            <w:u w:val="single"/>
          </w:rPr>
          <w:t>https://www.eurekalert.org/news-releases/1124237</w:t>
        </w:r>
      </w:hyperlink>
    </w:p>
    <w:p w14:paraId="1BD13BF4" w14:textId="77777777" w:rsidR="00AF5863" w:rsidRDefault="00000000">
      <w:pPr>
        <w:numPr>
          <w:ilvl w:val="0"/>
          <w:numId w:val="3"/>
        </w:numPr>
        <w:pBdr>
          <w:top w:val="nil"/>
          <w:left w:val="nil"/>
          <w:bottom w:val="nil"/>
          <w:right w:val="nil"/>
          <w:between w:val="nil"/>
        </w:pBdr>
      </w:pPr>
      <w:r>
        <w:rPr>
          <w:sz w:val="24"/>
          <w:szCs w:val="24"/>
        </w:rPr>
        <w:lastRenderedPageBreak/>
        <w:t xml:space="preserve">State of Health Estimation for Batteries Based on a Dynamic Graph ..., accessed April 28, 2026, </w:t>
      </w:r>
      <w:hyperlink r:id="rId61">
        <w:r>
          <w:rPr>
            <w:color w:val="0000EE"/>
            <w:sz w:val="24"/>
            <w:szCs w:val="24"/>
            <w:u w:val="single"/>
          </w:rPr>
          <w:t>https://www.mdpi.com/1996-1073/18/20/5333</w:t>
        </w:r>
      </w:hyperlink>
    </w:p>
    <w:p w14:paraId="44F5C240" w14:textId="77777777" w:rsidR="00AF5863" w:rsidRDefault="00000000">
      <w:pPr>
        <w:numPr>
          <w:ilvl w:val="0"/>
          <w:numId w:val="3"/>
        </w:numPr>
        <w:pBdr>
          <w:top w:val="nil"/>
          <w:left w:val="nil"/>
          <w:bottom w:val="nil"/>
          <w:right w:val="nil"/>
          <w:between w:val="nil"/>
        </w:pBdr>
      </w:pPr>
      <w:r>
        <w:rPr>
          <w:sz w:val="24"/>
          <w:szCs w:val="24"/>
        </w:rPr>
        <w:t xml:space="preserve">Battery health prediction under data scarcity: A cross-domain ..., accessed April 28, 2026, </w:t>
      </w:r>
      <w:hyperlink r:id="rId62">
        <w:r>
          <w:rPr>
            <w:color w:val="0000EE"/>
            <w:sz w:val="24"/>
            <w:szCs w:val="24"/>
            <w:u w:val="single"/>
          </w:rPr>
          <w:t>https://www.researchgate.net/publication/399305491_Battery_health_prediction_under_data_scarcity_A_cross-domain_physics-informed_5-shot_framework_with_GRU-Transformer</w:t>
        </w:r>
      </w:hyperlink>
    </w:p>
    <w:p w14:paraId="2329FD73" w14:textId="77777777" w:rsidR="00AF5863" w:rsidRDefault="00000000">
      <w:pPr>
        <w:numPr>
          <w:ilvl w:val="0"/>
          <w:numId w:val="3"/>
        </w:numPr>
        <w:pBdr>
          <w:top w:val="nil"/>
          <w:left w:val="nil"/>
          <w:bottom w:val="nil"/>
          <w:right w:val="nil"/>
          <w:between w:val="nil"/>
        </w:pBdr>
      </w:pPr>
      <w:r>
        <w:rPr>
          <w:sz w:val="24"/>
          <w:szCs w:val="24"/>
        </w:rPr>
        <w:t xml:space="preserve">Residual-aware health prediction of power transformers via ..., accessed April 28, 2026, </w:t>
      </w:r>
      <w:hyperlink r:id="rId63">
        <w:r>
          <w:rPr>
            <w:color w:val="0000EE"/>
            <w:sz w:val="24"/>
            <w:szCs w:val="24"/>
            <w:u w:val="single"/>
          </w:rPr>
          <w:t>https://journals.plos.org/plosone/article?id=10.1371/journal.pone.0332381</w:t>
        </w:r>
      </w:hyperlink>
    </w:p>
    <w:p w14:paraId="1CECE358" w14:textId="77777777" w:rsidR="00AF5863" w:rsidRDefault="00000000">
      <w:pPr>
        <w:numPr>
          <w:ilvl w:val="0"/>
          <w:numId w:val="3"/>
        </w:numPr>
        <w:pBdr>
          <w:top w:val="nil"/>
          <w:left w:val="nil"/>
          <w:bottom w:val="nil"/>
          <w:right w:val="nil"/>
          <w:between w:val="nil"/>
        </w:pBdr>
      </w:pPr>
      <w:r>
        <w:rPr>
          <w:sz w:val="24"/>
          <w:szCs w:val="24"/>
        </w:rPr>
        <w:t xml:space="preserve">Estimation of Lithium-Ion Battery SOH Based on a Hybrid Transformer–KAN Model - MDPI, accessed April 28, 2026, </w:t>
      </w:r>
      <w:hyperlink r:id="rId64">
        <w:r>
          <w:rPr>
            <w:color w:val="0000EE"/>
            <w:sz w:val="24"/>
            <w:szCs w:val="24"/>
            <w:u w:val="single"/>
          </w:rPr>
          <w:t>https://www.mdpi.com/2079-9292/14/24/4859</w:t>
        </w:r>
      </w:hyperlink>
    </w:p>
    <w:p w14:paraId="46DA7425" w14:textId="77777777" w:rsidR="00AF5863" w:rsidRDefault="00000000">
      <w:pPr>
        <w:numPr>
          <w:ilvl w:val="0"/>
          <w:numId w:val="3"/>
        </w:numPr>
        <w:pBdr>
          <w:top w:val="nil"/>
          <w:left w:val="nil"/>
          <w:bottom w:val="nil"/>
          <w:right w:val="nil"/>
          <w:between w:val="nil"/>
        </w:pBdr>
      </w:pPr>
      <w:r>
        <w:rPr>
          <w:sz w:val="24"/>
          <w:szCs w:val="24"/>
        </w:rPr>
        <w:t xml:space="preserve">Ensemble Learning-Based Battery Health Estimation: A Comparative Study of RUL, SOC, and SOH Prediction Using Machine Learning Models - Asian Research Association, accessed April 28, 2026, </w:t>
      </w:r>
      <w:hyperlink r:id="rId65">
        <w:r>
          <w:rPr>
            <w:color w:val="0000EE"/>
            <w:sz w:val="24"/>
            <w:szCs w:val="24"/>
            <w:u w:val="single"/>
          </w:rPr>
          <w:t>https://journals.asianresassoc.org/index.php/irjmt/article/view/4709</w:t>
        </w:r>
      </w:hyperlink>
    </w:p>
    <w:p w14:paraId="45A68CBA" w14:textId="77777777" w:rsidR="00AF5863" w:rsidRDefault="00000000">
      <w:pPr>
        <w:numPr>
          <w:ilvl w:val="0"/>
          <w:numId w:val="3"/>
        </w:numPr>
        <w:pBdr>
          <w:top w:val="nil"/>
          <w:left w:val="nil"/>
          <w:bottom w:val="nil"/>
          <w:right w:val="nil"/>
          <w:between w:val="nil"/>
        </w:pBdr>
      </w:pPr>
      <w:r>
        <w:rPr>
          <w:sz w:val="24"/>
          <w:szCs w:val="24"/>
        </w:rPr>
        <w:t xml:space="preserve">Circular Economy in Battery Recycling Market Growth 2026-33 - </w:t>
      </w:r>
      <w:proofErr w:type="spellStart"/>
      <w:r>
        <w:rPr>
          <w:sz w:val="24"/>
          <w:szCs w:val="24"/>
        </w:rPr>
        <w:t>DataM</w:t>
      </w:r>
      <w:proofErr w:type="spellEnd"/>
      <w:r>
        <w:rPr>
          <w:sz w:val="24"/>
          <w:szCs w:val="24"/>
        </w:rPr>
        <w:t xml:space="preserve"> Intelligence, accessed April 28, 2026, </w:t>
      </w:r>
      <w:hyperlink r:id="rId66">
        <w:r>
          <w:rPr>
            <w:color w:val="0000EE"/>
            <w:sz w:val="24"/>
            <w:szCs w:val="24"/>
            <w:u w:val="single"/>
          </w:rPr>
          <w:t>https://www.datamintelligence.com/research-report/circular-economy-in-battery-recycling-market</w:t>
        </w:r>
      </w:hyperlink>
    </w:p>
    <w:p w14:paraId="21719AE2" w14:textId="77777777" w:rsidR="00AF5863" w:rsidRDefault="00000000">
      <w:pPr>
        <w:numPr>
          <w:ilvl w:val="0"/>
          <w:numId w:val="3"/>
        </w:numPr>
        <w:pBdr>
          <w:top w:val="nil"/>
          <w:left w:val="nil"/>
          <w:bottom w:val="nil"/>
          <w:right w:val="nil"/>
          <w:between w:val="nil"/>
        </w:pBdr>
      </w:pPr>
      <w:r>
        <w:rPr>
          <w:sz w:val="24"/>
          <w:szCs w:val="24"/>
        </w:rPr>
        <w:t xml:space="preserve">TOPSIS - Wikipedia, accessed April 28, 2026, </w:t>
      </w:r>
      <w:hyperlink r:id="rId67">
        <w:r>
          <w:rPr>
            <w:color w:val="0000EE"/>
            <w:sz w:val="24"/>
            <w:szCs w:val="24"/>
            <w:u w:val="single"/>
          </w:rPr>
          <w:t>https://en.wikipedia.org/wiki/TOPSIS</w:t>
        </w:r>
      </w:hyperlink>
    </w:p>
    <w:p w14:paraId="1E4F8561" w14:textId="77777777" w:rsidR="00AF5863" w:rsidRDefault="00000000">
      <w:pPr>
        <w:numPr>
          <w:ilvl w:val="0"/>
          <w:numId w:val="3"/>
        </w:numPr>
        <w:pBdr>
          <w:top w:val="nil"/>
          <w:left w:val="nil"/>
          <w:bottom w:val="nil"/>
          <w:right w:val="nil"/>
          <w:between w:val="nil"/>
        </w:pBdr>
      </w:pPr>
      <w:r>
        <w:rPr>
          <w:sz w:val="24"/>
          <w:szCs w:val="24"/>
        </w:rPr>
        <w:t xml:space="preserve">A Data Pre-Processing Model for the </w:t>
      </w:r>
      <w:proofErr w:type="spellStart"/>
      <w:r>
        <w:rPr>
          <w:sz w:val="24"/>
          <w:szCs w:val="24"/>
        </w:rPr>
        <w:t>Topsis</w:t>
      </w:r>
      <w:proofErr w:type="spellEnd"/>
      <w:r>
        <w:rPr>
          <w:sz w:val="24"/>
          <w:szCs w:val="24"/>
        </w:rPr>
        <w:t xml:space="preserve"> Method - </w:t>
      </w:r>
      <w:proofErr w:type="spellStart"/>
      <w:r>
        <w:rPr>
          <w:sz w:val="24"/>
          <w:szCs w:val="24"/>
        </w:rPr>
        <w:t>SciSpace</w:t>
      </w:r>
      <w:proofErr w:type="spellEnd"/>
      <w:r>
        <w:rPr>
          <w:sz w:val="24"/>
          <w:szCs w:val="24"/>
        </w:rPr>
        <w:t xml:space="preserve">, accessed April 28, 2026, </w:t>
      </w:r>
      <w:hyperlink r:id="rId68">
        <w:r>
          <w:rPr>
            <w:color w:val="0000EE"/>
            <w:sz w:val="24"/>
            <w:szCs w:val="24"/>
            <w:u w:val="single"/>
          </w:rPr>
          <w:t>https://scispace.com/pdf/a-data-pre-processing-model-for-the-topsis-method-2er6trsvt6.pdf</w:t>
        </w:r>
      </w:hyperlink>
    </w:p>
    <w:p w14:paraId="6BBC9355" w14:textId="77777777" w:rsidR="00AF5863" w:rsidRDefault="00000000">
      <w:pPr>
        <w:numPr>
          <w:ilvl w:val="0"/>
          <w:numId w:val="3"/>
        </w:numPr>
        <w:pBdr>
          <w:top w:val="nil"/>
          <w:left w:val="nil"/>
          <w:bottom w:val="nil"/>
          <w:right w:val="nil"/>
          <w:between w:val="nil"/>
        </w:pBdr>
      </w:pPr>
      <w:r>
        <w:rPr>
          <w:sz w:val="24"/>
          <w:szCs w:val="24"/>
        </w:rPr>
        <w:t xml:space="preserve">TOPSIS Method Overview and Steps | PDF | Mathematics - Scribd, accessed April 28, 2026, </w:t>
      </w:r>
      <w:hyperlink r:id="rId69">
        <w:r>
          <w:rPr>
            <w:color w:val="0000EE"/>
            <w:sz w:val="24"/>
            <w:szCs w:val="24"/>
            <w:u w:val="single"/>
          </w:rPr>
          <w:t>https://www.scribd.com/document/791358352/TOPSIS</w:t>
        </w:r>
      </w:hyperlink>
    </w:p>
    <w:p w14:paraId="3C6D0D74" w14:textId="77777777" w:rsidR="00AF5863" w:rsidRDefault="00000000">
      <w:pPr>
        <w:numPr>
          <w:ilvl w:val="0"/>
          <w:numId w:val="3"/>
        </w:numPr>
        <w:pBdr>
          <w:top w:val="nil"/>
          <w:left w:val="nil"/>
          <w:bottom w:val="nil"/>
          <w:right w:val="nil"/>
          <w:between w:val="nil"/>
        </w:pBdr>
      </w:pPr>
      <w:r>
        <w:rPr>
          <w:sz w:val="24"/>
          <w:szCs w:val="24"/>
        </w:rPr>
        <w:t xml:space="preserve">EU battery passport regulation requirements - Circularise, accessed April 28, 2026, </w:t>
      </w:r>
      <w:hyperlink r:id="rId70">
        <w:r>
          <w:rPr>
            <w:color w:val="0000EE"/>
            <w:sz w:val="24"/>
            <w:szCs w:val="24"/>
            <w:u w:val="single"/>
          </w:rPr>
          <w:t>https://www.circularise.com/blogs/eu-battery-passport-regulation-requirements</w:t>
        </w:r>
      </w:hyperlink>
    </w:p>
    <w:p w14:paraId="3EA9F26F" w14:textId="77777777" w:rsidR="00AF5863" w:rsidRDefault="00000000">
      <w:pPr>
        <w:numPr>
          <w:ilvl w:val="0"/>
          <w:numId w:val="3"/>
        </w:numPr>
        <w:pBdr>
          <w:top w:val="nil"/>
          <w:left w:val="nil"/>
          <w:bottom w:val="nil"/>
          <w:right w:val="nil"/>
          <w:between w:val="nil"/>
        </w:pBdr>
      </w:pPr>
      <w:r>
        <w:rPr>
          <w:sz w:val="24"/>
          <w:szCs w:val="24"/>
        </w:rPr>
        <w:t xml:space="preserve">Asset Administration Shell (AAS): What It Is and How It Organizes Product Data - </w:t>
      </w:r>
      <w:proofErr w:type="spellStart"/>
      <w:r>
        <w:rPr>
          <w:sz w:val="24"/>
          <w:szCs w:val="24"/>
        </w:rPr>
        <w:t>explitia</w:t>
      </w:r>
      <w:proofErr w:type="spellEnd"/>
      <w:r>
        <w:rPr>
          <w:sz w:val="24"/>
          <w:szCs w:val="24"/>
        </w:rPr>
        <w:t xml:space="preserve">, accessed April 28, 2026, </w:t>
      </w:r>
      <w:hyperlink r:id="rId71">
        <w:r>
          <w:rPr>
            <w:color w:val="0000EE"/>
            <w:sz w:val="24"/>
            <w:szCs w:val="24"/>
            <w:u w:val="single"/>
          </w:rPr>
          <w:t>https://explitia.com/blog/asset-administraton-shell-aas-what-is-it/</w:t>
        </w:r>
      </w:hyperlink>
    </w:p>
    <w:p w14:paraId="18C65741" w14:textId="77777777" w:rsidR="00AF5863" w:rsidRDefault="00000000">
      <w:pPr>
        <w:numPr>
          <w:ilvl w:val="0"/>
          <w:numId w:val="3"/>
        </w:numPr>
        <w:pBdr>
          <w:top w:val="nil"/>
          <w:left w:val="nil"/>
          <w:bottom w:val="nil"/>
          <w:right w:val="nil"/>
          <w:between w:val="nil"/>
        </w:pBdr>
      </w:pPr>
      <w:r>
        <w:rPr>
          <w:sz w:val="24"/>
          <w:szCs w:val="24"/>
        </w:rPr>
        <w:t xml:space="preserve">Introduction | Catena-X - Library, accessed April 28, 2026, </w:t>
      </w:r>
      <w:hyperlink r:id="rId72">
        <w:r>
          <w:rPr>
            <w:color w:val="0000EE"/>
            <w:sz w:val="24"/>
            <w:szCs w:val="24"/>
            <w:u w:val="single"/>
          </w:rPr>
          <w:t>https://catenax-ev.github.io/docs/Jupiter/standards/CX-0143-UseCaseCircularEconomyDigitalProductPassportStandard/introduction</w:t>
        </w:r>
      </w:hyperlink>
    </w:p>
    <w:p w14:paraId="0C0E24AB" w14:textId="77777777" w:rsidR="00AF5863" w:rsidRDefault="00000000">
      <w:pPr>
        <w:numPr>
          <w:ilvl w:val="0"/>
          <w:numId w:val="3"/>
        </w:numPr>
        <w:pBdr>
          <w:top w:val="nil"/>
          <w:left w:val="nil"/>
          <w:bottom w:val="nil"/>
          <w:right w:val="nil"/>
          <w:between w:val="nil"/>
        </w:pBdr>
      </w:pPr>
      <w:r>
        <w:rPr>
          <w:sz w:val="24"/>
          <w:szCs w:val="24"/>
        </w:rPr>
        <w:t xml:space="preserve">Digital Battery Passport - Use Case Guideline of the AAS - IDTA, accessed April 28, 2026, </w:t>
      </w:r>
      <w:hyperlink r:id="rId73">
        <w:r>
          <w:rPr>
            <w:color w:val="0000EE"/>
            <w:sz w:val="24"/>
            <w:szCs w:val="24"/>
            <w:u w:val="single"/>
          </w:rPr>
          <w:t>https://industrialdigitaltwin.org/en/wp-content/uploads/sites/2/2026/02/IDTA_Catena-X_Guideline_Digital_Battery_Passport.pdf</w:t>
        </w:r>
      </w:hyperlink>
    </w:p>
    <w:p w14:paraId="15A1759D" w14:textId="77777777" w:rsidR="00AF5863" w:rsidRDefault="00000000">
      <w:pPr>
        <w:numPr>
          <w:ilvl w:val="0"/>
          <w:numId w:val="3"/>
        </w:numPr>
        <w:pBdr>
          <w:top w:val="nil"/>
          <w:left w:val="nil"/>
          <w:bottom w:val="nil"/>
          <w:right w:val="nil"/>
          <w:between w:val="nil"/>
        </w:pBdr>
      </w:pPr>
      <w:r>
        <w:rPr>
          <w:sz w:val="24"/>
          <w:szCs w:val="24"/>
        </w:rPr>
        <w:t xml:space="preserve">Digital Battery Passport Guide (2024) - </w:t>
      </w:r>
      <w:proofErr w:type="spellStart"/>
      <w:r>
        <w:rPr>
          <w:sz w:val="24"/>
          <w:szCs w:val="24"/>
        </w:rPr>
        <w:t>PicoNext</w:t>
      </w:r>
      <w:proofErr w:type="spellEnd"/>
      <w:r>
        <w:rPr>
          <w:sz w:val="24"/>
          <w:szCs w:val="24"/>
        </w:rPr>
        <w:t xml:space="preserve">, accessed April 28, 2026, </w:t>
      </w:r>
      <w:hyperlink r:id="rId74">
        <w:r>
          <w:rPr>
            <w:color w:val="0000EE"/>
            <w:sz w:val="24"/>
            <w:szCs w:val="24"/>
            <w:u w:val="single"/>
          </w:rPr>
          <w:t>https://piconext.com/en-IN/article/digital-battery-passport/</w:t>
        </w:r>
      </w:hyperlink>
    </w:p>
    <w:p w14:paraId="6E29B211" w14:textId="77777777" w:rsidR="00AF5863" w:rsidRDefault="00000000">
      <w:pPr>
        <w:numPr>
          <w:ilvl w:val="0"/>
          <w:numId w:val="3"/>
        </w:numPr>
        <w:pBdr>
          <w:top w:val="nil"/>
          <w:left w:val="nil"/>
          <w:bottom w:val="nil"/>
          <w:right w:val="nil"/>
          <w:between w:val="nil"/>
        </w:pBdr>
      </w:pPr>
      <w:r>
        <w:rPr>
          <w:sz w:val="24"/>
          <w:szCs w:val="24"/>
        </w:rPr>
        <w:t xml:space="preserve">Techno-Economic and Environmental Viability of Second-Life EV Batteries in Commercial Buildings: An Analysis Using Real-World Data - MDPI, accessed April 28, 2026, </w:t>
      </w:r>
      <w:hyperlink r:id="rId75">
        <w:r>
          <w:rPr>
            <w:color w:val="0000EE"/>
            <w:sz w:val="24"/>
            <w:szCs w:val="24"/>
            <w:u w:val="single"/>
          </w:rPr>
          <w:t>https://www.mdpi.com/2313-0105/11/11/412</w:t>
        </w:r>
      </w:hyperlink>
    </w:p>
    <w:p w14:paraId="50A1328E" w14:textId="77777777" w:rsidR="00AF5863" w:rsidRDefault="00000000">
      <w:pPr>
        <w:numPr>
          <w:ilvl w:val="0"/>
          <w:numId w:val="3"/>
        </w:numPr>
        <w:pBdr>
          <w:top w:val="nil"/>
          <w:left w:val="nil"/>
          <w:bottom w:val="nil"/>
          <w:right w:val="nil"/>
          <w:between w:val="nil"/>
        </w:pBdr>
      </w:pPr>
      <w:r>
        <w:rPr>
          <w:sz w:val="24"/>
          <w:szCs w:val="24"/>
        </w:rPr>
        <w:t xml:space="preserve">Fair Market Valuation of Electric Vehicle Batteries in Second Life Applications - </w:t>
      </w:r>
      <w:r>
        <w:rPr>
          <w:sz w:val="24"/>
          <w:szCs w:val="24"/>
        </w:rPr>
        <w:lastRenderedPageBreak/>
        <w:t xml:space="preserve">MADOC - Uni Mannheim, accessed April 28, 2026, </w:t>
      </w:r>
      <w:hyperlink r:id="rId76">
        <w:r>
          <w:rPr>
            <w:color w:val="0000EE"/>
            <w:sz w:val="24"/>
            <w:szCs w:val="24"/>
            <w:u w:val="single"/>
          </w:rPr>
          <w:t>https://madoc.bib.uni-mannheim.de/67745/1/FMV%20EV%20August%202024.pdf</w:t>
        </w:r>
      </w:hyperlink>
    </w:p>
    <w:p w14:paraId="531D5F81" w14:textId="77777777" w:rsidR="00AF5863" w:rsidRDefault="00000000">
      <w:pPr>
        <w:numPr>
          <w:ilvl w:val="0"/>
          <w:numId w:val="3"/>
        </w:numPr>
        <w:pBdr>
          <w:top w:val="nil"/>
          <w:left w:val="nil"/>
          <w:bottom w:val="nil"/>
          <w:right w:val="nil"/>
          <w:between w:val="nil"/>
        </w:pBdr>
      </w:pPr>
      <w:r>
        <w:rPr>
          <w:sz w:val="24"/>
          <w:szCs w:val="24"/>
        </w:rPr>
        <w:t xml:space="preserve">Techno-economic model of a second-life energy storage system for utility-scale solar power considering li-ion calendar and cycle, accessed April 28, 2026, </w:t>
      </w:r>
      <w:hyperlink r:id="rId77">
        <w:r>
          <w:rPr>
            <w:color w:val="0000EE"/>
            <w:sz w:val="24"/>
            <w:szCs w:val="24"/>
            <w:u w:val="single"/>
          </w:rPr>
          <w:t>https://krichlab.ca/wp-content/uploads/2021/10/Mathews-et-al.-2020-Technoeconomic-model-of-second-life-batteries-for-copy.pdf</w:t>
        </w:r>
      </w:hyperlink>
    </w:p>
    <w:sectPr w:rsidR="00AF5863">
      <w:headerReference w:type="default" r:id="rId78"/>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3DD14C" w14:textId="77777777" w:rsidR="003B6C6C" w:rsidRDefault="003B6C6C">
      <w:r>
        <w:separator/>
      </w:r>
    </w:p>
  </w:endnote>
  <w:endnote w:type="continuationSeparator" w:id="0">
    <w:p w14:paraId="307CC7B1" w14:textId="77777777" w:rsidR="003B6C6C" w:rsidRDefault="003B6C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D8F4782D-9661-5740-ACFE-50661C1A4512}"/>
    <w:embedBold r:id="rId2" w:fontKey="{4A99CC75-69A3-B248-B759-74339AAB7505}"/>
  </w:font>
  <w:font w:name="Times New Roman">
    <w:panose1 w:val="02020603050405020304"/>
    <w:charset w:val="00"/>
    <w:family w:val="roman"/>
    <w:pitch w:val="variable"/>
    <w:sig w:usb0="E0002EFF" w:usb1="C000785B" w:usb2="00000009" w:usb3="00000000" w:csb0="000001FF" w:csb1="00000000"/>
    <w:embedRegular r:id="rId3" w:fontKey="{37DA1713-A244-0D46-8EB3-838772E901D5}"/>
  </w:font>
  <w:font w:name="Georgia">
    <w:panose1 w:val="02040502050405020303"/>
    <w:charset w:val="00"/>
    <w:family w:val="roman"/>
    <w:pitch w:val="variable"/>
    <w:sig w:usb0="00000287" w:usb1="00000000" w:usb2="00000000" w:usb3="00000000" w:csb0="0000009F" w:csb1="00000000"/>
    <w:embedItalic r:id="rId4" w:fontKey="{CC621F62-C946-E94F-97B2-BFFE0C70C2F2}"/>
  </w:font>
  <w:font w:name="Calibri">
    <w:panose1 w:val="020F0502020204030204"/>
    <w:charset w:val="00"/>
    <w:family w:val="swiss"/>
    <w:pitch w:val="variable"/>
    <w:sig w:usb0="E0002AFF" w:usb1="C000247B" w:usb2="00000009" w:usb3="00000000" w:csb0="000001FF" w:csb1="00000000"/>
    <w:embedRegular r:id="rId5" w:fontKey="{661936D6-1DC2-2B41-9824-226F7254E7A1}"/>
  </w:font>
  <w:font w:name="Cambria">
    <w:panose1 w:val="02040503050406030204"/>
    <w:charset w:val="00"/>
    <w:family w:val="roman"/>
    <w:notTrueType/>
    <w:pitch w:val="default"/>
    <w:embedRegular r:id="rId6" w:fontKey="{2E7F99BB-7EF0-B744-9C3F-AA790BBFF3A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CB7EA3" w14:textId="77777777" w:rsidR="003B6C6C" w:rsidRDefault="003B6C6C">
      <w:r>
        <w:separator/>
      </w:r>
    </w:p>
  </w:footnote>
  <w:footnote w:type="continuationSeparator" w:id="0">
    <w:p w14:paraId="0A68B55A" w14:textId="77777777" w:rsidR="003B6C6C" w:rsidRDefault="003B6C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B4637" w14:textId="77777777" w:rsidR="00AF5863" w:rsidRDefault="00AF586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8737F8"/>
    <w:multiLevelType w:val="multilevel"/>
    <w:tmpl w:val="BCDEFF92"/>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28B72098"/>
    <w:multiLevelType w:val="multilevel"/>
    <w:tmpl w:val="3334E166"/>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47432157"/>
    <w:multiLevelType w:val="multilevel"/>
    <w:tmpl w:val="ACC4681C"/>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015376225">
    <w:abstractNumId w:val="2"/>
  </w:num>
  <w:num w:numId="2" w16cid:durableId="394738694">
    <w:abstractNumId w:val="0"/>
  </w:num>
  <w:num w:numId="3" w16cid:durableId="5773266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5863"/>
    <w:rsid w:val="003B6C6C"/>
    <w:rsid w:val="00982AD3"/>
    <w:rsid w:val="00AF5863"/>
    <w:rsid w:val="00C458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2F42F2C"/>
  <w15:docId w15:val="{8B5AAB15-0817-3B4A-85F7-25615A6B4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GB"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hyperlink" Target="https://www.mdpi.com/1996-1073/18/6/1527" TargetMode="External"/><Relationship Id="rId63" Type="http://schemas.openxmlformats.org/officeDocument/2006/relationships/hyperlink" Target="https://journals.plos.org/plosone/article?id=10.1371/journal.pone.0332381" TargetMode="External"/><Relationship Id="rId68" Type="http://schemas.openxmlformats.org/officeDocument/2006/relationships/hyperlink" Target="https://scispace.com/pdf/a-data-pre-processing-model-for-the-topsis-method-2er6trsvt6.pdf" TargetMode="External"/><Relationship Id="rId16" Type="http://schemas.openxmlformats.org/officeDocument/2006/relationships/image" Target="media/image10.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hyperlink" Target="https://unece.org/sites/default/files/2024-10/4_EU_Rev.1.pdf" TargetMode="External"/><Relationship Id="rId53" Type="http://schemas.openxmlformats.org/officeDocument/2006/relationships/hyperlink" Target="https://arxiv.org/html/2501.18123v1" TargetMode="External"/><Relationship Id="rId58" Type="http://schemas.openxmlformats.org/officeDocument/2006/relationships/hyperlink" Target="https://arxiv.org/html/2509.10496v1" TargetMode="External"/><Relationship Id="rId66" Type="http://schemas.openxmlformats.org/officeDocument/2006/relationships/hyperlink" Target="https://www.datamintelligence.com/research-report/circular-economy-in-battery-recycling-market" TargetMode="External"/><Relationship Id="rId74" Type="http://schemas.openxmlformats.org/officeDocument/2006/relationships/hyperlink" Target="https://piconext.com/en-IN/article/digital-battery-passport/" TargetMode="External"/><Relationship Id="rId79"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hyperlink" Target="https://www.mdpi.com/1996-1073/18/20/5333" TargetMode="Externa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hyperlink" Target="https://www.researchgate.net/publication/399455391_Evaluation_of_reverse_supply_chain_strategies_for_end-of-life_EV_batteries_in_Vietnam_using_AHP-TOPSIS" TargetMode="External"/><Relationship Id="rId56" Type="http://schemas.openxmlformats.org/officeDocument/2006/relationships/hyperlink" Target="https://www.mdpi.com/2313-0105/9/3/177" TargetMode="External"/><Relationship Id="rId64" Type="http://schemas.openxmlformats.org/officeDocument/2006/relationships/hyperlink" Target="https://www.mdpi.com/2079-9292/14/24/4859" TargetMode="External"/><Relationship Id="rId69" Type="http://schemas.openxmlformats.org/officeDocument/2006/relationships/hyperlink" Target="https://www.scribd.com/document/791358352/TOPSIS" TargetMode="External"/><Relationship Id="rId77" Type="http://schemas.openxmlformats.org/officeDocument/2006/relationships/hyperlink" Target="https://krichlab.ca/wp-content/uploads/2021/10/Mathews-et-al.-2020-Technoeconomic-model-of-second-life-batteries-for-copy.pdf" TargetMode="External"/><Relationship Id="rId8" Type="http://schemas.openxmlformats.org/officeDocument/2006/relationships/image" Target="media/image2.png"/><Relationship Id="rId51" Type="http://schemas.openxmlformats.org/officeDocument/2006/relationships/hyperlink" Target="https://pure-oai.bham.ac.uk/ws/portalfiles/portal/248096530/pdf.pdf" TargetMode="External"/><Relationship Id="rId72" Type="http://schemas.openxmlformats.org/officeDocument/2006/relationships/hyperlink" Target="https://catenax-ev.github.io/docs/Jupiter/standards/CX-0143-UseCaseCircularEconomyDigitalProductPassportStandard/introduction" TargetMode="External"/><Relationship Id="rId80"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hyperlink" Target="https://www.tuv.com/landingpage/en/eu-new-battery-regulation-eu-2023-1542/" TargetMode="External"/><Relationship Id="rId59" Type="http://schemas.openxmlformats.org/officeDocument/2006/relationships/hyperlink" Target="https://www.researchgate.net/publication/392379594_Prediction_of_SOH_and_RUL_for_Li-Ion_Batteries_in_EV_Based_on_AttentiveLSTM_Multi-Task_Model" TargetMode="External"/><Relationship Id="rId67" Type="http://schemas.openxmlformats.org/officeDocument/2006/relationships/hyperlink" Target="https://en.wikipedia.org/wiki/TOPSIS" TargetMode="Externa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hyperlink" Target="https://www.geeksforgeeks.org/dsa/lstm-derivation-of-back-propagation-through-time/" TargetMode="External"/><Relationship Id="rId62" Type="http://schemas.openxmlformats.org/officeDocument/2006/relationships/hyperlink" Target="https://www.researchgate.net/publication/399305491_Battery_health_prediction_under_data_scarcity_A_cross-domain_physics-informed_5-shot_framework_with_GRU-Transformer" TargetMode="External"/><Relationship Id="rId70" Type="http://schemas.openxmlformats.org/officeDocument/2006/relationships/hyperlink" Target="https://www.circularise.com/blogs/eu-battery-passport-regulation-requirements" TargetMode="External"/><Relationship Id="rId75" Type="http://schemas.openxmlformats.org/officeDocument/2006/relationships/hyperlink" Target="https://www.mdpi.com/2313-0105/11/11/412"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hyperlink" Target="https://scholarcommons.sc.edu/cgi/viewcontent.cgi?article=2172&amp;context=eche_facpub" TargetMode="External"/><Relationship Id="rId57" Type="http://schemas.openxmlformats.org/officeDocument/2006/relationships/hyperlink" Target="https://towardsdatascience.com/the-math-behind-lstm-9069b835289d/" TargetMode="Externa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hyperlink" Target="https://scholarcommons.sc.edu/etd/6828/" TargetMode="External"/><Relationship Id="rId60" Type="http://schemas.openxmlformats.org/officeDocument/2006/relationships/hyperlink" Target="https://www.eurekalert.org/news-releases/1124237" TargetMode="External"/><Relationship Id="rId65" Type="http://schemas.openxmlformats.org/officeDocument/2006/relationships/hyperlink" Target="https://journals.asianresassoc.org/index.php/irjmt/article/view/4709" TargetMode="External"/><Relationship Id="rId73" Type="http://schemas.openxmlformats.org/officeDocument/2006/relationships/hyperlink" Target="https://industrialdigitaltwin.org/en/wp-content/uploads/sites/2/2026/02/IDTA_Catena-X_Guideline_Digital_Battery_Passport.pdf" TargetMode="External"/><Relationship Id="rId78"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hyperlink" Target="https://docs.pybamm.org/en/latest/source/examples/notebooks/creating_models/6-a-simple-SEI-model.html" TargetMode="External"/><Relationship Id="rId55" Type="http://schemas.openxmlformats.org/officeDocument/2006/relationships/hyperlink" Target="https://www.researchgate.net/publication/383922134_Prediction_of_State-of-Health_and_Remaining-Useful-Life_of_Battery_Based_on_Hybrid_Neural_Network_Model" TargetMode="External"/><Relationship Id="rId76" Type="http://schemas.openxmlformats.org/officeDocument/2006/relationships/hyperlink" Target="https://madoc.bib.uni-mannheim.de/67745/1/FMV%20EV%20August%202024.pdf" TargetMode="External"/><Relationship Id="rId7" Type="http://schemas.openxmlformats.org/officeDocument/2006/relationships/image" Target="media/image1.png"/><Relationship Id="rId71" Type="http://schemas.openxmlformats.org/officeDocument/2006/relationships/hyperlink" Target="https://explitia.com/blog/asset-administraton-shell-aas-what-is-it/" TargetMode="External"/><Relationship Id="rId2" Type="http://schemas.openxmlformats.org/officeDocument/2006/relationships/styles" Target="styles.xml"/><Relationship Id="rId29" Type="http://schemas.openxmlformats.org/officeDocument/2006/relationships/image" Target="media/image2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1925</Words>
  <Characters>13676</Characters>
  <Application>Microsoft Office Word</Application>
  <DocSecurity>0</DocSecurity>
  <Lines>411</Lines>
  <Paragraphs>195</Paragraphs>
  <ScaleCrop>false</ScaleCrop>
  <Company/>
  <LinksUpToDate>false</LinksUpToDate>
  <CharactersWithSpaces>15423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Abhinav Kumar</cp:lastModifiedBy>
  <cp:revision>2</cp:revision>
  <dcterms:created xsi:type="dcterms:W3CDTF">2026-04-28T13:42:00Z</dcterms:created>
  <dcterms:modified xsi:type="dcterms:W3CDTF">2026-04-28T13:42:00Z</dcterms:modified>
</cp:coreProperties>
</file>