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Executive Dashboard Report</w:t>
      </w:r>
    </w:p>
    <w:p>
      <w:r>
        <w:t>Generated: 2026-08-23 16:00 UTC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Transactions Processed</w:t>
            </w:r>
          </w:p>
        </w:tc>
        <w:tc>
          <w:tcPr>
            <w:tcW w:type="dxa" w:w="4320"/>
          </w:tcPr>
          <w:p>
            <w:r>
              <w:t>5,232 (INR 143,780,642.70)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Alerts / Critical Alerts</w:t>
            </w:r>
          </w:p>
        </w:tc>
        <w:tc>
          <w:tcPr>
            <w:tcW w:type="dxa" w:w="4320"/>
          </w:tcPr>
          <w:p>
            <w:r>
              <w:t>266 / 150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Open / Recovered Cases</w:t>
            </w:r>
          </w:p>
        </w:tc>
        <w:tc>
          <w:tcPr>
            <w:tcW w:type="dxa" w:w="4320"/>
          </w:tcPr>
          <w:p>
            <w:r>
              <w:t>235 /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Money At Risk / Recovered</w:t>
            </w:r>
          </w:p>
        </w:tc>
        <w:tc>
          <w:tcPr>
            <w:tcW w:type="dxa" w:w="4320"/>
          </w:tcPr>
          <w:p>
            <w:r>
              <w:t>INR 28,455,521.00 / INR 3,820,237.00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