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  <Override PartName="/word/media/rId45.png" ContentType="image/png"/>
  <Override PartName="/word/media/rId49.png" ContentType="image/png"/>
  <Override PartName="/word/media/rId53.png" ContentType="image/png"/>
  <Override PartName="/word/media/rId57.png" ContentType="image/png"/>
  <Override PartName="/word/media/rId61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3.png" ContentType="image/png"/>
  <Override PartName="/word/media/rId97.png" ContentType="image/png"/>
  <Override PartName="/word/media/rId10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Архитектура</w:t>
      </w:r>
      <w:r>
        <w:t xml:space="preserve"> </w:t>
      </w:r>
      <w:r>
        <w:t xml:space="preserve">компьютеров</w:t>
      </w:r>
    </w:p>
    <w:p>
      <w:pPr>
        <w:pStyle w:val="Author"/>
      </w:pPr>
      <w:r>
        <w:t xml:space="preserve">Когенгар</w:t>
      </w:r>
      <w:r>
        <w:t xml:space="preserve"> </w:t>
      </w:r>
      <w:r>
        <w:t xml:space="preserve">Ришард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10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</w:pPr>
      <w:r>
        <w:t xml:space="preserve">Создал каталог для выполнения лабораторной работы № 9, перешел</w:t>
      </w:r>
      <w:r>
        <w:t xml:space="preserve"> </w:t>
      </w:r>
      <w:r>
        <w:t xml:space="preserve">в него и создал файл lab9-1.asm.</w:t>
      </w:r>
    </w:p>
    <w:p>
      <w:pPr>
        <w:numPr>
          <w:ilvl w:val="0"/>
          <w:numId w:val="1001"/>
        </w:numPr>
      </w:pPr>
      <w:r>
        <w:t xml:space="preserve">В качестве примера рассмотрим программу вычисления арифметического</w:t>
      </w:r>
      <w:r>
        <w:t xml:space="preserve"> </w:t>
      </w:r>
      <w:r>
        <w:t xml:space="preserve">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помощью подпрограммы calcul. В данном</w:t>
      </w:r>
      <w:r>
        <w:t xml:space="preserve"> </w:t>
      </w:r>
      <w:r>
        <w:t xml:space="preserve">примере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 вычисляется в подпрограмме.</w:t>
      </w:r>
    </w:p>
    <w:p>
      <w:pPr>
        <w:pStyle w:val="CaptionedFigure"/>
      </w:pPr>
      <w:bookmarkStart w:id="24" w:name="fig:001"/>
      <w:r>
        <w:drawing>
          <wp:inline>
            <wp:extent cx="5334000" cy="5715649"/>
            <wp:effectExtent b="0" l="0" r="0" t="0"/>
            <wp:docPr descr="Рис. 1: Программа в файле lab9-1.asm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156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Рис. 1: Программа в файле lab9-1.asm</w:t>
      </w:r>
    </w:p>
    <w:p>
      <w:pPr>
        <w:pStyle w:val="CaptionedFigure"/>
      </w:pPr>
      <w:bookmarkStart w:id="28" w:name="fig:002"/>
      <w:r>
        <w:drawing>
          <wp:inline>
            <wp:extent cx="5334000" cy="1501185"/>
            <wp:effectExtent b="0" l="0" r="0" t="0"/>
            <wp:docPr descr="Рис. 2: Запуск программы lab9-1.asm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11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Рис. 2: Запуск программы lab9-1.asm</w:t>
      </w:r>
    </w:p>
    <w:p>
      <w:pPr>
        <w:numPr>
          <w:ilvl w:val="0"/>
          <w:numId w:val="1002"/>
        </w:numPr>
        <w:pStyle w:val="Compac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p>
      <w:pPr>
        <w:pStyle w:val="CaptionedFigure"/>
      </w:pPr>
      <w:bookmarkStart w:id="32" w:name="fig:003"/>
      <w:r>
        <w:drawing>
          <wp:inline>
            <wp:extent cx="5334000" cy="6245794"/>
            <wp:effectExtent b="0" l="0" r="0" t="0"/>
            <wp:docPr descr="Рис. 3: Программа в файле lab9-1.asm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457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Рис. 3: Программа в файле lab9-1.asm</w:t>
      </w:r>
    </w:p>
    <w:p>
      <w:pPr>
        <w:pStyle w:val="CaptionedFigure"/>
      </w:pPr>
      <w:bookmarkStart w:id="36" w:name="fig:004"/>
      <w:r>
        <w:drawing>
          <wp:inline>
            <wp:extent cx="5334000" cy="1385454"/>
            <wp:effectExtent b="0" l="0" r="0" t="0"/>
            <wp:docPr descr="Рис. 4: Запуск программы lab9-1.asm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854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Рис. 4: Запуск программы lab9-1.asm</w:t>
      </w:r>
    </w:p>
    <w:p>
      <w:pPr>
        <w:numPr>
          <w:ilvl w:val="0"/>
          <w:numId w:val="1003"/>
        </w:numPr>
        <w:pStyle w:val="Compact"/>
      </w:pPr>
      <w:r>
        <w:t xml:space="preserve">Создал файл lab9-2.asm с текстом программы из Листинга 9.2. (Программа печати сообщения Hello world!).</w:t>
      </w:r>
    </w:p>
    <w:p>
      <w:pPr>
        <w:pStyle w:val="CaptionedFigure"/>
      </w:pPr>
      <w:bookmarkStart w:id="40" w:name="fig:005"/>
      <w:r>
        <w:drawing>
          <wp:inline>
            <wp:extent cx="4995511" cy="4860757"/>
            <wp:effectExtent b="0" l="0" r="0" t="0"/>
            <wp:docPr descr="Рис. 5: Программа в файле lab9-2.asm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5511" cy="48607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Рис. 5: Программа в файле lab9-2.asm</w:t>
      </w:r>
    </w:p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p>
      <w:pPr>
        <w:pStyle w:val="CaptionedFigure"/>
      </w:pPr>
      <w:bookmarkStart w:id="44" w:name="fig:006"/>
      <w:r>
        <w:drawing>
          <wp:inline>
            <wp:extent cx="5334000" cy="3206229"/>
            <wp:effectExtent b="0" l="0" r="0" t="0"/>
            <wp:docPr descr="Рис. 6: Запуск программы lab9-2.asm в отладчике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062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Рис. 6: Запуск программы lab9-2.asm в отладчике</w:t>
      </w:r>
    </w:p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p>
      <w:pPr>
        <w:pStyle w:val="CaptionedFigure"/>
      </w:pPr>
      <w:bookmarkStart w:id="48" w:name="fig:007"/>
      <w:r>
        <w:drawing>
          <wp:inline>
            <wp:extent cx="5334000" cy="3515098"/>
            <wp:effectExtent b="0" l="0" r="0" t="0"/>
            <wp:docPr descr="Рис. 7: Дизассимилированный код" title="" id="46" name="Picture"/>
            <a:graphic>
              <a:graphicData uri="http://schemas.openxmlformats.org/drawingml/2006/picture">
                <pic:pic>
                  <pic:nvPicPr>
                    <pic:cNvPr descr="image/07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50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Рис. 7: Дизассимилированный код</w:t>
      </w:r>
    </w:p>
    <w:p>
      <w:pPr>
        <w:pStyle w:val="CaptionedFigure"/>
      </w:pPr>
      <w:bookmarkStart w:id="52" w:name="fig:008"/>
      <w:r>
        <w:drawing>
          <wp:inline>
            <wp:extent cx="5334000" cy="3527089"/>
            <wp:effectExtent b="0" l="0" r="0" t="0"/>
            <wp:docPr descr="Рис. 8: Дизассимилированный код в режиме интел" title="" id="50" name="Picture"/>
            <a:graphic>
              <a:graphicData uri="http://schemas.openxmlformats.org/drawingml/2006/picture">
                <pic:pic>
                  <pic:nvPicPr>
                    <pic:cNvPr descr="image/08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270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Рис. 8: Дизассимилированный код в режиме интел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p>
      <w:pPr>
        <w:pStyle w:val="CaptionedFigure"/>
      </w:pPr>
      <w:bookmarkStart w:id="56" w:name="fig:009"/>
      <w:r>
        <w:drawing>
          <wp:inline>
            <wp:extent cx="5334000" cy="3563257"/>
            <wp:effectExtent b="0" l="0" r="0" t="0"/>
            <wp:docPr descr="Рис. 9: Точка остановки" title="" id="54" name="Picture"/>
            <a:graphic>
              <a:graphicData uri="http://schemas.openxmlformats.org/drawingml/2006/picture">
                <pic:pic>
                  <pic:nvPicPr>
                    <pic:cNvPr descr="image/09.pn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63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Рис. 9: Точка остановки</w:t>
      </w:r>
    </w:p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p>
      <w:pPr>
        <w:pStyle w:val="CaptionedFigure"/>
      </w:pPr>
      <w:bookmarkStart w:id="60" w:name="fig:010"/>
      <w:r>
        <w:drawing>
          <wp:inline>
            <wp:extent cx="5334000" cy="4467689"/>
            <wp:effectExtent b="0" l="0" r="0" t="0"/>
            <wp:docPr descr="Рис. 10: Изменение регистров" title="" id="58" name="Picture"/>
            <a:graphic>
              <a:graphicData uri="http://schemas.openxmlformats.org/drawingml/2006/picture">
                <pic:pic>
                  <pic:nvPicPr>
                    <pic:cNvPr descr="image/10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7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Рис. 10: Изменение регистров</w:t>
      </w:r>
    </w:p>
    <w:p>
      <w:pPr>
        <w:pStyle w:val="CaptionedFigure"/>
      </w:pPr>
      <w:bookmarkStart w:id="64" w:name="fig:011"/>
      <w:r>
        <w:drawing>
          <wp:inline>
            <wp:extent cx="5334000" cy="4465674"/>
            <wp:effectExtent b="0" l="0" r="0" t="0"/>
            <wp:docPr descr="Рис. 11: Изменение регистров" title="" id="62" name="Picture"/>
            <a:graphic>
              <a:graphicData uri="http://schemas.openxmlformats.org/drawingml/2006/picture">
                <pic:pic>
                  <pic:nvPicPr>
                    <pic:cNvPr descr="image/11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656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Рис. 11: Изменение регистров</w:t>
      </w:r>
    </w:p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p>
      <w:pPr>
        <w:pStyle w:val="CaptionedFigure"/>
      </w:pPr>
      <w:bookmarkStart w:id="68" w:name="fig:012"/>
      <w:r>
        <w:drawing>
          <wp:inline>
            <wp:extent cx="5334000" cy="4474873"/>
            <wp:effectExtent b="0" l="0" r="0" t="0"/>
            <wp:docPr descr="Рис. 12: Изменение значения переменной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48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12: Изменение значения переменной</w:t>
      </w:r>
    </w:p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p>
      <w:pPr>
        <w:pStyle w:val="CaptionedFigure"/>
      </w:pPr>
      <w:bookmarkStart w:id="72" w:name="fig:013"/>
      <w:r>
        <w:drawing>
          <wp:inline>
            <wp:extent cx="5334000" cy="4479822"/>
            <wp:effectExtent b="0" l="0" r="0" t="0"/>
            <wp:docPr descr="Рис. 13: Вывод значения регистр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98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13: Вывод значения регистра</w:t>
      </w:r>
    </w:p>
    <w:p>
      <w:pPr>
        <w:pStyle w:val="BodyText"/>
      </w:pPr>
      <w:r>
        <w:t xml:space="preserve">С помощью команды set изменил значение регистра ebx</w:t>
      </w:r>
    </w:p>
    <w:p>
      <w:pPr>
        <w:pStyle w:val="CaptionedFigure"/>
      </w:pPr>
      <w:bookmarkStart w:id="76" w:name="fig:014"/>
      <w:r>
        <w:drawing>
          <wp:inline>
            <wp:extent cx="5334000" cy="4478079"/>
            <wp:effectExtent b="0" l="0" r="0" t="0"/>
            <wp:docPr descr="Рис. 14: Вывод значения регистр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0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14: Вывод значения регистра</w:t>
      </w:r>
    </w:p>
    <w:p>
      <w:pPr>
        <w:numPr>
          <w:ilvl w:val="0"/>
          <w:numId w:val="1004"/>
        </w:numPr>
        <w:pStyle w:val="Compac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p>
      <w:pPr>
        <w:pStyle w:val="FirstParagraph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p>
      <w:pPr>
        <w:pStyle w:val="CaptionedFigure"/>
      </w:pPr>
      <w:bookmarkStart w:id="80" w:name="fig:015"/>
      <w:r>
        <w:drawing>
          <wp:inline>
            <wp:extent cx="5334000" cy="4492440"/>
            <wp:effectExtent b="0" l="0" r="0" t="0"/>
            <wp:docPr descr="Рис. 15: Вывод значения регистр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24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15: Вывод значения регистра</w:t>
      </w:r>
    </w:p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p>
      <w:pPr>
        <w:numPr>
          <w:ilvl w:val="0"/>
          <w:numId w:val="1005"/>
        </w:numPr>
        <w:pStyle w:val="Compact"/>
      </w:pPr>
      <w:r>
        <w:t xml:space="preserve">Преобразовал программу из лабораторной работы №8 (Задание №1 для</w:t>
      </w:r>
      <w:r>
        <w:t xml:space="preserve"> </w:t>
      </w:r>
      <w:r>
        <w:t xml:space="preserve">самостоятельной работы), реализовав вычисление значения функции f(x)</w:t>
      </w:r>
      <w:r>
        <w:t xml:space="preserve"> </w:t>
      </w:r>
      <w:r>
        <w:t xml:space="preserve">как подпрограмму.</w:t>
      </w:r>
    </w:p>
    <w:p>
      <w:pPr>
        <w:pStyle w:val="CaptionedFigure"/>
      </w:pPr>
      <w:bookmarkStart w:id="84" w:name="fig:016"/>
      <w:r>
        <w:drawing>
          <wp:inline>
            <wp:extent cx="4677877" cy="6564429"/>
            <wp:effectExtent b="0" l="0" r="0" t="0"/>
            <wp:docPr descr="Рис. 16: Программа в файле lab9-4.asm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7877" cy="656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16: Программа в файле lab9-4.asm</w:t>
      </w:r>
    </w:p>
    <w:p>
      <w:pPr>
        <w:pStyle w:val="CaptionedFigure"/>
      </w:pPr>
      <w:bookmarkStart w:id="88" w:name="fig:017"/>
      <w:r>
        <w:drawing>
          <wp:inline>
            <wp:extent cx="5334000" cy="2075145"/>
            <wp:effectExtent b="0" l="0" r="0" t="0"/>
            <wp:docPr descr="Рис. 17: Запуск программы lab9-4.asm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75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17: Запуск программы lab9-4.asm</w:t>
      </w:r>
    </w:p>
    <w:p>
      <w:pPr>
        <w:numPr>
          <w:ilvl w:val="0"/>
          <w:numId w:val="1006"/>
        </w:numPr>
        <w:pStyle w:val="Compact"/>
      </w:pPr>
      <w:r>
        <w:t xml:space="preserve">В листинге приведена программа вычисления выражения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При запуске данная программа дает неверный результат. Проверил это.</w:t>
      </w:r>
      <w:r>
        <w:t xml:space="preserve"> </w:t>
      </w:r>
      <w:r>
        <w:t xml:space="preserve">С помощью отладчика GDB, анализируя изменения значений регистров,</w:t>
      </w:r>
      <w:r>
        <w:t xml:space="preserve"> </w:t>
      </w:r>
      <w:r>
        <w:t xml:space="preserve">определю ошибку и исправлю ее.</w:t>
      </w:r>
    </w:p>
    <w:p>
      <w:pPr>
        <w:pStyle w:val="CaptionedFigure"/>
      </w:pPr>
      <w:bookmarkStart w:id="92" w:name="fig:018"/>
      <w:r>
        <w:drawing>
          <wp:inline>
            <wp:extent cx="5082138" cy="4158113"/>
            <wp:effectExtent b="0" l="0" r="0" t="0"/>
            <wp:docPr descr="Рис. 18: Код с ошибкой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2138" cy="41581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18: Код с ошибкой</w:t>
      </w:r>
    </w:p>
    <w:p>
      <w:pPr>
        <w:pStyle w:val="CaptionedFigure"/>
      </w:pPr>
      <w:bookmarkStart w:id="96" w:name="fig:019"/>
      <w:r>
        <w:drawing>
          <wp:inline>
            <wp:extent cx="5334000" cy="4478837"/>
            <wp:effectExtent b="0" l="0" r="0" t="0"/>
            <wp:docPr descr="Рис. 19: Отладка" title="" id="94" name="Picture"/>
            <a:graphic>
              <a:graphicData uri="http://schemas.openxmlformats.org/drawingml/2006/picture">
                <pic:pic>
                  <pic:nvPicPr>
                    <pic:cNvPr descr="image/19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788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Рис. 19: Отладка</w:t>
      </w:r>
    </w:p>
    <w:p>
      <w:pPr>
        <w:pStyle w:val="BodyText"/>
      </w:pPr>
      <w:r>
        <w:t xml:space="preserve">Отмечу, что перепутан порядок аргументов у инструкции add и что по окончании работы в edi отправляется ebx вместо eax</w:t>
      </w:r>
    </w:p>
    <w:p>
      <w:pPr>
        <w:pStyle w:val="CaptionedFigure"/>
      </w:pPr>
      <w:bookmarkStart w:id="100" w:name="fig:020"/>
      <w:r>
        <w:drawing>
          <wp:inline>
            <wp:extent cx="4812631" cy="4119612"/>
            <wp:effectExtent b="0" l="0" r="0" t="0"/>
            <wp:docPr descr="Рис. 20: Код исправлен" title="" id="98" name="Picture"/>
            <a:graphic>
              <a:graphicData uri="http://schemas.openxmlformats.org/drawingml/2006/picture">
                <pic:pic>
                  <pic:nvPicPr>
                    <pic:cNvPr descr="image/20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2631" cy="41196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Рис. 20: Код исправлен</w:t>
      </w:r>
    </w:p>
    <w:p>
      <w:pPr>
        <w:pStyle w:val="CaptionedFigure"/>
      </w:pPr>
      <w:bookmarkStart w:id="104" w:name="fig:021"/>
      <w:r>
        <w:drawing>
          <wp:inline>
            <wp:extent cx="5334000" cy="4491141"/>
            <wp:effectExtent b="0" l="0" r="0" t="0"/>
            <wp:docPr descr="Рис. 21: Проверка работы" title="" id="102" name="Picture"/>
            <a:graphic>
              <a:graphicData uri="http://schemas.openxmlformats.org/drawingml/2006/picture">
                <pic:pic>
                  <pic:nvPicPr>
                    <pic:cNvPr descr="image/21.pn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911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Рис. 21: Проверка работы</w:t>
      </w:r>
    </w:p>
    <w:bookmarkEnd w:id="105"/>
    <w:bookmarkStart w:id="106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0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3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4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5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6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53" Target="media/rId53.png" /><Relationship Type="http://schemas.openxmlformats.org/officeDocument/2006/relationships/image" Id="rId57" Target="media/rId57.png" /><Relationship Type="http://schemas.openxmlformats.org/officeDocument/2006/relationships/image" Id="rId61" Target="media/rId61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3" Target="media/rId93.png" /><Relationship Type="http://schemas.openxmlformats.org/officeDocument/2006/relationships/image" Id="rId97" Target="media/rId97.png" /><Relationship Type="http://schemas.openxmlformats.org/officeDocument/2006/relationships/image" Id="rId101" Target="media/rId10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Когенгар Ришард</dc:creator>
  <dc:language>ru-RU</dc:language>
  <cp:keywords/>
  <dcterms:created xsi:type="dcterms:W3CDTF">2024-12-02T10:25:55Z</dcterms:created>
  <dcterms:modified xsi:type="dcterms:W3CDTF">2024-12-02T10:25:55Z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Архитектура компьютеров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