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 GROUP &amp; OJIJO HR LAW: Comprehensive Organizational &amp; Website Research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analytical findings detailed in this document resolve the organizational identity and digital ecosystem of the Ojijo brand family. The investigation establishes that the "Ojijo" professional ecosystem in Kenya operates through distinct but highly overlapping entities that serve overlapping but fundamentally distinct user journeys. The core public-facing specialization across the most active digital properties is Employment Law, Labour Relations, and Human Resources (HR) Legal Compliance, pivoting away from traditional, generalized litigation toward highly specialized employer defense and proactive workplace compliance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ecosystem comprises a full-service law firm identified as Ojijo Senaji Advocates, a specialized HR legal consulting entity operating as Ojijo &amp; Partners Consulting (digitally represented as Ojijo HR Law), a high-level corporate umbrella brand known as Ojijo Group, and an active professional development division operating as Ojijo Group Training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primary end-users navigating this digital ecosystem are corporate employers, human resource directors, management teams, and institutional leaders seeking to mitigate legal risk in employee relations, manage internal disciplinary processes, and navigate the complex jurisprudence of the Kenyan Employment and Labour Relations Court (ELRC)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directive for the imminent website reconstruction is not to build a generic law-firm platform. Rather, the digital architecture must be engineered as a highly specialized, employer-focused legal advisory and training hub. The digital experience must seamlessly integrate a robust professional development catalogue—currently managed via the external Luma platform—while establishing a definitive semantic boundary that differentiates the firm's specialized corporate consulting services from the general litigation practice associated with the broader brand. The ensuing report provides the factual foundation, strategic architecture, and content framework necessary to replace existing placeholder components with an evidence-based digital presence.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Investigation Framework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this comprehensive analysis is to completely deconstruct the digital footprint, brand architecture, and service matrices of the various Ojijo entities to inform the information architecture and content strategy for the ojijohrlaw.com reconstruction. The analysis rigorously scrutinizes official domains, external event registration platforms, professional directories, legal registries, and third-party media to extract verifiable operational data.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structural challenge addressed throughout this analysis is the phenomenon of brand conflation. Multiple entities within this professional network share the "Ojijo" namesake, utilize overlapping telephone numbers, and operate from shared physical addresses in Nairobi, creating a high probability of cognitive friction and user confusion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analytical model applied here separates verified organizational facts from promotional marketing language, isolating the specific, employer-focused offerings of Ojijo HR Law from the broader, generalized legal practice of Ojijo Senaji Advocates to ensure the digital reconstruction serves the precise needs of its intended market.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Evidence Hierarchy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highest degree of accuracy and strategic alignment, the analysis adheres to a strict evidence hierarchy, prioritizing primary sources over inferred or third-party data. The foundational layer of evidence consists of the primary official properties, specifically ojijohrlaw.com, ojijogroup.com, and ojijosenaji.com, which establish the baseline claims of the organization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secondary layer comprises official event platforms, most notably the verified Ojijo Group Luma profiles, which provide irrefutable operational data regarding pricing, event venues, temporal schedules, and professional accreditations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tertiary layer involves statutory and professional registries, including references to the Law Society of Kenya (LSK) and the Institute of Human Resource Management (IHRM), which validate the regulatory standing and credentialing capabilities of the firm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Finally, third-party media and recognized awards, such as publications detailing legal practice recognition and the Forty Under 40 Africa awards, are utilized strictly to corroborate the public standing and verified leadership of the organization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hierarchical approach ensures that contradictory information is resolved in favor of the most authoritative, legally binding, or operationally current source.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Ojijo Organizational Ecosystem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investigation definitively establishes that "Ojijo" does not represent a single, monolithic corporate organization. It is, instead, a complex family of specialized professional service brands operating synergistically, frequently sharing administrative infrastructure and physical premises—specifically noted at Kindaruma Road 714, Kilimani, and Northcote Apartments, Argwings Kodhek Road, Nairobi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organizational ecosystem is strategically bifurcated into two primary operational arms, each addressing fundamentally different market needs. The first arm is the general legal practice, operated primarily under the brand Ojijo Senaji Advocates. This traditional law firm handles diverse legal matters extending far beyond employment, encompassing aviation law, maritime operations, general commercial disputes, conveyancing, real estate, and intellectual property rights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arm, which is the primary focus of this digital reconstruction, is the HR and Employment Law vertical. This specialized operation functions under the names Ojijo Group, Ojijo &amp; Partners Consulting, and Ojijo HR Law. This vertical functions not merely as a reactive litigation practice, but as a highly specialized consultancy and proactive training provider tailored exclusively for employers and human resource professionals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digital strategy must reflect this bifurcation, ensuring that users seeking HR compliance are not presented with irrelevant information regarding maritime or aviation law.</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Entity-by-Entity Analysis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structural breakdown distinguishes the verified entities based on an aggregation of digital evidence, separating their core purposes, service offerings, and target demographics to eliminate the pervasive brand confusion.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Digital Property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Strategic Purpose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Service Offerings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End-Users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Ojijo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ojijogroup.com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umbrella brand positioning the firm as authoritative experts in employment and labour 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legal solutions, ELRC representation, comprehensive HR compliance audits.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employers, NGOs, public institutions, and enterprise HR departments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Ojijo &amp; Partners Consulting (Ojijo HR 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ojijohrlaw.com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specialized consulting and advisory arm explicitly focused on mitigating HR risk and delivering professional 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Outsourced HR administration, employment contract drafting, policy formulation, workplace mediation.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HR Managers, corporate entities, county governments, and line managers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Ojijo Senaji Advocates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ojijosenaji.com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traditional, full-service law firm handling a broad spectrum of legal disciplines outside of pure employment 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Civil and criminal litigation, alternative dispute resolution (ADR), conveyancing, corporate law, family 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corporate clients, individuals, state agencies, and entrepreneurs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Ojijo Group 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luma.com/ojijogrouptraining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dedicated professional development, capacity building, and event management division of the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masterclasses, regional HR Law consortiums, destination leadership 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HR professionals seeking IHRM CPD points, compliance officers, and organizational leaders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Leadership &amp; Expertise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footprint reveals specific leadership profiles that anchor the organization's credibility. However, the discovery process also surfaces potential misattributions and external profiles sharing the same surname that the resulting website content must carefully avoid synthesizing into the brand narrative.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verified leader is Kepher Kiche Ojijo. The evidence identifies him as a prominent Advocate of the High Court of Kenya and a recognized "Forty Under 40 Achiever 2026" for Law in Africa, representing the Ojijo Group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His operational footprint includes documented representation in complex Employment and Labour Relations Court (ELRC) matters and high-profile interactions with the Law Society of Kenya regarding constitutional petitions and professional conduct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He is a verified principal whose expertise validates the firm's positioning. Another name surfaced is Joel Kyatha Mbaluka, mentioned in a historical directory as a Managing Partner associated with Ojijo Senaji Advocates, possessing over two decades of experience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this data point appears in older third-party directories, it requires explicit client verification before integration into the new digital property.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investigation identified Pascal Ojijo (also known as Ojijo Ogilo Mark Pascal), a prolific author, public speaker, and entrepreneur based in Uganda and Kenya, who is associated with LawPronto LLP and various publications on legal rhetoric</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analysis concludes that there is no verified operational evidence linking Pascal Ojijo to the operations of Ojijo HR Law or Ojijo Group. The shared surname represents a search discovery false positive. The website content strategy must rigorously exclude this profile and strictly reflect the expertise of Kepher Kiche Ojijo and the verified Kenyan consulting team. Furthermore, Ojijo Senaji Advocates claims to comprise 55 specialists across various legal fields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this may be accurate for the general practice, applying this massive headcount to the highly specialized HR consulting arm without verification risks diluting the boutique, specialized nature of Ojijo HR Law.</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Core Specializations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evidence demonstrates unequivocally that the organization's strongest, most defensible market positioning is not as a generic legal provider, but as a hyper-specialized authority in Employer Legal Risk and HR Compliance. The content ecosystem repeatedly highlights a proactive, defensive posture designed to insulate organizations from statutory penalties and employee litigation.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firm's intellectual output and service marketing continually emphasize deep competence in Employment and Labour Relations Court (ELRC) litigation, specifically defending employers against unfair termination, wrongful dismissal, and discrimination claims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firm exhibits profound specialization in disciplinary management, regularly educating the market on procedural fairness, suspension guidelines, and the lawful thresholds for employee dismissal based strictly on recent Court of Appeal precedents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extends to organizational restructuring, where the firm provides highly sought-after legal strategies for managing redundancies without incurring subsequent litigation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conducting comprehensive HR compliance audits that align internal HR manuals and policies with the Employment Act and the Data Protection Act, the firm moves beyond reactive litigation into the realm of strategic risk management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Service Portfolio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website must transition from utilizing generic legal placeholders to deploying a highly structured, clearly articulated service inventory. The following verified services form the foundation of the digital architecture and must be represented as distinct service pathways.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Deliverables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Target Audience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Supporting Evidence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 Advisory &amp; Employer Representation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 at the ELRC; resolution of trade union and collective bargaining disputes; defending against complex discrimination and sexual harassment claims.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Employers, Executive Boards, Institutional Legal Counsel.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HR Legal Consulting &amp;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Drafting and reviewing employment and expatriate contracts; formulating HR manuals, workplace policies, and non-disclosure agreements; conducting comprehensive HR compliance audits.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HR Directors, Compliance Officers, Operations Managers.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Workplace Dispute Resolution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Providing mediation and conciliation services at the labour office; executing impartial workplace grievance investigations; chairing and facilitating internal disciplinary hearings.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 Managers, HR Departments, SME Owners.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Capacity Building &amp; Outsourced HR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Delivering customized in-house training for HR departments and line managers; providing continuous, outsourced HR department support; assisting in the establishment of functional HR departments.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HR Teams, Organizations undergoing rapid scaling.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Industries &amp; Clients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organization maintains a diverse, cross-sectoral portfolio that underscores its capacity to handle complex labour environments across varying regulatory landscapes. The digital presence should strategically categorize these sectors to build localized trust with prospective enterprise clients, moving away from generic claims of helping "businesses."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sectors include Financial Services, encompassing major banks, SACCOs, and microfinance institutions requiring strict regulatory adherence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firm maintains a strong foothold in the Non-Governmental Organization (NGO) and INGO sectors, represented by documented relationships with entities such as the Refugee Consortium Kenya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firm services the Manufacturing and Logistics sectors, highlighted by clients such as FMCG companies like Capwell, which often face complex unionized labor challenges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Healthcare institutions, including the Coptic Mission and Amref, alongside public sector county governments and parastatals, complete a robust portfolio that demonstrates high-level, cross-industry competence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Geographic Presence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administrative and legal headquarters are firmly established in Nairobi, specifically within the Kilimani district, the firm's operational and training footprint is decidedly regional. Nairobi serves as the primary base for national ELRC representation and strategic consulting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 organization's highly lucrative capacity-building division operates as a destination training hub. High-level executive training and consortia are frequently hosted in premium coastal locations, most notably Malindi (utilizing the Diamonds Resort) and Zanzibar (utilizing the Hotel Verde - Azam Luxury Resort)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marketing of the "East Africa Annual HR Law Consortium" indicates a deliberate strategic ambition to serve the broader East African community, benchmarking global HR best practices across regional borders rather than confining operations purely to the Kenyan domestic market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Training &amp; Professional Development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of the Ojijo ecosystem reveals that training is not merely a supplementary marketing activity designed to capture legal leads; it functions as a distinct, highly sophisticated, and likely high-margin revenue channel. Ojijo Group Training operates an advanced, rigorous curriculum tailored specifically for seasoned HR directors, line managers, and corporate legal officers.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reconstruction must elevate training from a secondary sub-page to a primary user journey. The events produced by the firm are premium offerings, carrying substantial registration fees that range from KES 5,000 for brief virtual sessions to KES 100,000 for immersive, multi-day destination masterclasses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critical driver of this division's success is its ability to offer Continuous Professional Development (CPD) points through the Institute of Human Resource Management (IHRM). Because these points are mandatory for licensed HR professionals operating in Kenya, the firm has positioned itself as an essential node in the national HR compliance ecosystem, guaranteeing a recurring audience for its knowledge products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Luma / Event Ecosystem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Luma serves as the technological and administrative backbone of Ojijo's event registration, ticketing, and community management workflows. The current operational usage of Luma is extensive: it hosts detailed event descriptions, handles automated ticketing and capacity management, manages participant approval workflows, and processes financial transactions, including seamless integration with local Kenyan payment gateways such as MPESA Paybill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recommendation derived from this analysis is that the new Ojijo HR Law website must absolutely avoid the costly and error-prone endeavor of building a custom, redundant registration database from scratch. Instead, the website should function as a highly polished, SEO-optimized storefront. Event cards rendered on the native website should dynamically display the title, date, location, investment cost, and corresponding CPD points. The primary Call-to-Action (CTA) must effortlessly route the user to the Luma platform to finalize the transaction. Depending on the capabilities of the chosen UI framework, embedding the Luma checkout widget directly into the event landing page is highly recommended to maintain a frictionless user journey while preserving the firm's visual branding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Partnerships &amp; Professional Bodies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organization's credibility in the highly regulated legal and HR markets relies heavily on its verified institutional alignments. The website architecture must prominently and persistently display these relationships as critical trust signals. The most vital partnership is with the Institute of Human Resource Management (IHRM), which acts as the provider of CPD accreditation for Ojijo training events, validating the educational rigor of the firm's programs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National Industrial Training Authority (NITA) is frequently listed as a collaborator or partner in event literature, signaling compliance with national industrial training standards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Additionally, the firm's fundamental legal authority is derived from its standing with the Law Society of Kenya (LSK), the regulatory body governing the advocates operating within the consulting firm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Elevating these three institutional logos on the homepage and within the training hub is a mandatory architectural requirement.</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Thought Leadership &amp; Content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organization's content strategy revolves heavily around the synthesis and analysis of recent judicial developments. Rather than producing generic legal blogging, the firm meticulously analyzes recent Court of Appeal and ELRC decisions, translating complex jurisprudence into actionable risk-mitigation strategies for employers.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Recurring intellectual themes dominate their event titles and digital output. Topics such as the "Court of Appeal Digest on Suspension, Dismissal, Termination &amp; Redundancy" demonstrate a focus on the most perilous aspects of workforce management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Other prominent themes include navigating "Emerging Sexual Harassment: Leading Court Decisions" and providing practical frameworks for the "Employer &amp; The Data Protection Act: Do's &amp; Don'ts"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website reconstruction must feature a dedicated "Insights" or "Legal Updates" section structurally designed to house these digests. This architecture establishes the firm not merely as a reactive service provider, but as a proactive intellectual authority shaping HR law practice in Kenya.</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Market Positioning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the broader Kenyan HR legal market—including entities like the Federation of Kenya Employers (FKE) and comparable corporate law firms such as WKA Advocates—indicates a distinct market gap. Generic corporate law firms often bury employment law as a minor sub-specialty nested under "Civil Litigation," failing to address the specific, day-to-day operational needs of HR professionals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Conversely, employer federations offer training but lack the bespoke, aggressive litigation defense of a private law firm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 HR Law occupies a highly lucrative intersection, maintaining a distinct competitive advantage by positioning itself as an outsourced, specialized HR-legal partner. The core brand positioning statement guiding the website's tone should be: "Your In-House Legal and HR Experts—Bridging the Gap Between Human Resources and the Law." The copywriting must actively shift the narrative from traditional legal bravado ("We win cases") to corporate risk management ("We prevent litigation, ensure compliance, and protect employers").</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End-User Persona Analysis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architecture must be engineered to facilitate the varied intents of five distinct user personas, ensuring rapid access to relevant information without cognitive overload.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persona is the </w:t>
      </w:r>
      <w:r w:rsidDel="00000000" w:rsidR="00000000" w:rsidRPr="00000000">
        <w:rPr>
          <w:rFonts w:ascii="Google Sans" w:cs="Google Sans" w:eastAsia="Google Sans" w:hAnsi="Google Sans"/>
          <w:b w:val="1"/>
          <w:bCs w:val="1"/>
          <w:color w:val="1f1f1f"/>
          <w:rtl w:val="0"/>
        </w:rPr>
        <w:t xml:space="preserve">Corporate Employer or Business Owner</w:t>
      </w:r>
      <w:r w:rsidDel="00000000" w:rsidR="00000000" w:rsidRPr="00000000">
        <w:rPr>
          <w:rFonts w:ascii="Google Sans" w:cs="Google Sans" w:eastAsia="Google Sans" w:hAnsi="Google Sans"/>
          <w:color w:val="1f1f1f"/>
          <w:rtl w:val="0"/>
        </w:rPr>
        <w:t xml:space="preserve">. This user is typically in a state of high urgency, facing an active ELRC lawsuit or requiring immediate strategic guidance for a major workforce restructuring. Their required digital journey is highly transactional, moving directly from the Homepage to the Litigation or Restructuring service pages, culminating in a prominent Contact Form or direct WhatsApp CTA.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persona is the </w:t>
      </w:r>
      <w:r w:rsidDel="00000000" w:rsidR="00000000" w:rsidRPr="00000000">
        <w:rPr>
          <w:rFonts w:ascii="Google Sans" w:cs="Google Sans" w:eastAsia="Google Sans" w:hAnsi="Google Sans"/>
          <w:b w:val="1"/>
          <w:bCs w:val="1"/>
          <w:color w:val="1f1f1f"/>
          <w:rtl w:val="0"/>
        </w:rPr>
        <w:t xml:space="preserve">HR Director (Compliance Focus)</w:t>
      </w:r>
      <w:r w:rsidDel="00000000" w:rsidR="00000000" w:rsidRPr="00000000">
        <w:rPr>
          <w:rFonts w:ascii="Google Sans" w:cs="Google Sans" w:eastAsia="Google Sans" w:hAnsi="Google Sans"/>
          <w:color w:val="1f1f1f"/>
          <w:rtl w:val="0"/>
        </w:rPr>
        <w:t xml:space="preserve">. Operating proactively, this user requires comprehensive HR policy audits or expert facilitation for a complex, high-risk disciplinary hearing. Their journey involves navigating to the HR Consulting service pages, evaluating the firm's methodology, and booking a formal consultation.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persona is the </w:t>
      </w:r>
      <w:r w:rsidDel="00000000" w:rsidR="00000000" w:rsidRPr="00000000">
        <w:rPr>
          <w:rFonts w:ascii="Google Sans" w:cs="Google Sans" w:eastAsia="Google Sans" w:hAnsi="Google Sans"/>
          <w:b w:val="1"/>
          <w:bCs w:val="1"/>
          <w:color w:val="1f1f1f"/>
          <w:rtl w:val="0"/>
        </w:rPr>
        <w:t xml:space="preserve">HR Professional (CPD Seeker)</w:t>
      </w:r>
      <w:r w:rsidDel="00000000" w:rsidR="00000000" w:rsidRPr="00000000">
        <w:rPr>
          <w:rFonts w:ascii="Google Sans" w:cs="Google Sans" w:eastAsia="Google Sans" w:hAnsi="Google Sans"/>
          <w:color w:val="1f1f1f"/>
          <w:rtl w:val="0"/>
        </w:rPr>
        <w:t xml:space="preserve">. This user represents recurring revenue and is driven by the statutory need to accumulate IHRM CPD points through certified training. Their optimal journey bypasses the legal advisory pages entirely, moving directly from the Homepage to the Training Calendar, filtering for upcoming events, and clicking through to the Luma registration portal.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fourth persona is the </w:t>
      </w:r>
      <w:r w:rsidDel="00000000" w:rsidR="00000000" w:rsidRPr="00000000">
        <w:rPr>
          <w:rFonts w:ascii="Google Sans" w:cs="Google Sans" w:eastAsia="Google Sans" w:hAnsi="Google Sans"/>
          <w:b w:val="1"/>
          <w:bCs w:val="1"/>
          <w:color w:val="1f1f1f"/>
          <w:rtl w:val="0"/>
        </w:rPr>
        <w:t xml:space="preserve">Line Manager (Capacity Building)</w:t>
      </w:r>
      <w:r w:rsidDel="00000000" w:rsidR="00000000" w:rsidRPr="00000000">
        <w:rPr>
          <w:rFonts w:ascii="Google Sans" w:cs="Google Sans" w:eastAsia="Google Sans" w:hAnsi="Google Sans"/>
          <w:color w:val="1f1f1f"/>
          <w:rtl w:val="0"/>
        </w:rPr>
        <w:t xml:space="preserve">. Often directed by HR leadership, this user seeks practical, operational knowledge, such as "Courtroom Skills" or handling day-to-day employee grievances. Their journey involves exploring the Masterclasses section and frequently ends with an inquiry for customized In-House Training.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w:t>
      </w:r>
      <w:r w:rsidDel="00000000" w:rsidR="00000000" w:rsidRPr="00000000">
        <w:rPr>
          <w:rFonts w:ascii="Google Sans" w:cs="Google Sans" w:eastAsia="Google Sans" w:hAnsi="Google Sans"/>
          <w:b w:val="1"/>
          <w:bCs w:val="1"/>
          <w:color w:val="1f1f1f"/>
          <w:rtl w:val="0"/>
        </w:rPr>
        <w:t xml:space="preserve">Researcher or Prospective Enterprise Client</w:t>
      </w:r>
      <w:r w:rsidDel="00000000" w:rsidR="00000000" w:rsidRPr="00000000">
        <w:rPr>
          <w:rFonts w:ascii="Google Sans" w:cs="Google Sans" w:eastAsia="Google Sans" w:hAnsi="Google Sans"/>
          <w:color w:val="1f1f1f"/>
          <w:rtl w:val="0"/>
        </w:rPr>
        <w:t xml:space="preserve"> is focused on due diligence, seeking to validate the firm's credibility, track record, and intellectual depth. This journey requires deep engagement with the About Us section, exploring gallery evidence of past events, reviewing industry awards, and consuming legal updates to verify the firm's authority.</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Website User Journeys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accommodate these diverse personas, the website architecture must eliminate all dead ends. Every page must function as part of a continuous conversion loop. Service pages detailing ELRC representation or compliance audits must conclude with a dual Call-to-Action: one prompting the user to "Consult an Expert" (linking to direct contact mechanisms), and a secondary CTA inviting them to "View Relevant Training" (linking to the training calendar for proactive education).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the Training ecosystem must be designed for longevity. Past events should not simply disappear from the UI; they must remain visible within an "Archived" or "Past Masterclasses" repository. This serves dual purposes: it provides social proof of the firm's vibrant, ongoing activity, and allows the inclusion of a CTA allowing corporate users to "Request this Training In-House," converting expired public events into lucrative private consulting leads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Recommended Brand Architecture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aggregation of digital evidence, the highly complex and potentially confusing multi-brand structure must be simplified and clarified for the end-user. The strategically sound architecture for this reconstruction is a modified version of </w:t>
      </w:r>
      <w:r w:rsidDel="00000000" w:rsidR="00000000" w:rsidRPr="00000000">
        <w:rPr>
          <w:rFonts w:ascii="Google Sans" w:cs="Google Sans" w:eastAsia="Google Sans" w:hAnsi="Google Sans"/>
          <w:b w:val="1"/>
          <w:bCs w:val="1"/>
          <w:color w:val="1f1f1f"/>
          <w:rtl w:val="0"/>
        </w:rPr>
        <w:t xml:space="preserve">Model 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Under this model, the primary domain focus of ojijohrlaw.com serves strictly as the digital home for </w:t>
      </w:r>
      <w:r w:rsidDel="00000000" w:rsidR="00000000" w:rsidRPr="00000000">
        <w:rPr>
          <w:rFonts w:ascii="Google Sans" w:cs="Google Sans" w:eastAsia="Google Sans" w:hAnsi="Google Sans"/>
          <w:b w:val="1"/>
          <w:bCs w:val="1"/>
          <w:color w:val="1f1f1f"/>
          <w:rtl w:val="0"/>
        </w:rPr>
        <w:t xml:space="preserve">Ojijo &amp; Partners Consulting</w:t>
      </w:r>
      <w:r w:rsidDel="00000000" w:rsidR="00000000" w:rsidRPr="00000000">
        <w:rPr>
          <w:rFonts w:ascii="Google Sans" w:cs="Google Sans" w:eastAsia="Google Sans" w:hAnsi="Google Sans"/>
          <w:color w:val="1f1f1f"/>
          <w:rtl w:val="0"/>
        </w:rPr>
        <w:t xml:space="preserve">. The brand relationship must be explicitly stated in the UI to orient the user, utilizing phrasing such as: </w:t>
      </w:r>
      <w:r w:rsidDel="00000000" w:rsidR="00000000" w:rsidRPr="00000000">
        <w:rPr>
          <w:rFonts w:ascii="Google Sans" w:cs="Google Sans" w:eastAsia="Google Sans" w:hAnsi="Google Sans"/>
          <w:i w:val="1"/>
          <w:iCs w:val="1"/>
          <w:color w:val="1f1f1f"/>
          <w:rtl w:val="0"/>
        </w:rPr>
        <w:t xml:space="preserve">"Ojijo &amp; Partners Consulting is the specialized HR and Employment Law advisory arm of Ojijo Group."</w:t>
      </w:r>
      <w:r w:rsidDel="00000000" w:rsidR="00000000" w:rsidRPr="00000000">
        <w:rPr>
          <w:rFonts w:ascii="Google Sans" w:cs="Google Sans" w:eastAsia="Google Sans" w:hAnsi="Google Sans"/>
          <w:color w:val="1f1f1f"/>
          <w:rtl w:val="0"/>
        </w:rPr>
        <w:t xml:space="preserve"> Crucially, the website must deliberately separate itself from the general practice of Ojijo Senaji Advocates. While the entities share personnel and resources, a corporate HR director seeking compliance audits should not have their user experience diluted by information regarding aviation or maritime law</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 capture any misdirected traffic, the footer or a subtle utility link in the navigation should simply state: </w:t>
      </w:r>
      <w:r w:rsidDel="00000000" w:rsidR="00000000" w:rsidRPr="00000000">
        <w:rPr>
          <w:rFonts w:ascii="Google Sans" w:cs="Google Sans" w:eastAsia="Google Sans" w:hAnsi="Google Sans"/>
          <w:i w:val="1"/>
          <w:iCs w:val="1"/>
          <w:color w:val="1f1f1f"/>
          <w:rtl w:val="0"/>
        </w:rPr>
        <w:t xml:space="preserve">"Looking for General Legal Services? Visit Ojijo Senaji Advocates."</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Recommended Website Architecture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implementation relying on generic placeholders must be entirely replaced with the following evidence-based information architecture, designed to reflect the firm's actual business model.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top-level navigation must feature the </w:t>
      </w:r>
      <w:r w:rsidDel="00000000" w:rsidR="00000000" w:rsidRPr="00000000">
        <w:rPr>
          <w:rFonts w:ascii="Google Sans" w:cs="Google Sans" w:eastAsia="Google Sans" w:hAnsi="Google Sans"/>
          <w:b w:val="1"/>
          <w:bCs w:val="1"/>
          <w:color w:val="1f1f1f"/>
          <w:rtl w:val="0"/>
        </w:rPr>
        <w:t xml:space="preserve">Home</w:t>
      </w:r>
      <w:r w:rsidDel="00000000" w:rsidR="00000000" w:rsidRPr="00000000">
        <w:rPr>
          <w:rFonts w:ascii="Google Sans" w:cs="Google Sans" w:eastAsia="Google Sans" w:hAnsi="Google Sans"/>
          <w:color w:val="1f1f1f"/>
          <w:rtl w:val="0"/>
        </w:rPr>
        <w:t xml:space="preserve"> page, serving as the central hub for expertise overview, dynamic upcoming events, and critical trust signals. The </w:t>
      </w:r>
      <w:r w:rsidDel="00000000" w:rsidR="00000000" w:rsidRPr="00000000">
        <w:rPr>
          <w:rFonts w:ascii="Google Sans" w:cs="Google Sans" w:eastAsia="Google Sans" w:hAnsi="Google Sans"/>
          <w:b w:val="1"/>
          <w:bCs w:val="1"/>
          <w:color w:val="1f1f1f"/>
          <w:rtl w:val="0"/>
        </w:rPr>
        <w:t xml:space="preserve">About Us</w:t>
      </w:r>
      <w:r w:rsidDel="00000000" w:rsidR="00000000" w:rsidRPr="00000000">
        <w:rPr>
          <w:rFonts w:ascii="Google Sans" w:cs="Google Sans" w:eastAsia="Google Sans" w:hAnsi="Google Sans"/>
          <w:color w:val="1f1f1f"/>
          <w:rtl w:val="0"/>
        </w:rPr>
        <w:t xml:space="preserve"> section must be refined to include the Firm Profile, a specific focus on the specialized leadership (highlighting Kepher Kiche Ojijo), and documented Accreditations and Awards (including the Forty Under 40 recognition and IHRM standing).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Services</w:t>
      </w:r>
      <w:r w:rsidDel="00000000" w:rsidR="00000000" w:rsidRPr="00000000">
        <w:rPr>
          <w:rFonts w:ascii="Google Sans" w:cs="Google Sans" w:eastAsia="Google Sans" w:hAnsi="Google Sans"/>
          <w:color w:val="1f1f1f"/>
          <w:rtl w:val="0"/>
        </w:rPr>
        <w:t xml:space="preserve"> section must be rigorously categorized to prevent cognitive overload, utilizing distinct sub-pages for Employment Litigation &amp; ELRC Representation, HR Legal Compliance &amp; Audits, Workplace Dispute Resolution &amp; Mediation, and Outsourced HR Administration.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its revenue importance, </w:t>
      </w:r>
      <w:r w:rsidDel="00000000" w:rsidR="00000000" w:rsidRPr="00000000">
        <w:rPr>
          <w:rFonts w:ascii="Google Sans" w:cs="Google Sans" w:eastAsia="Google Sans" w:hAnsi="Google Sans"/>
          <w:b w:val="1"/>
          <w:bCs w:val="1"/>
          <w:color w:val="1f1f1f"/>
          <w:rtl w:val="0"/>
        </w:rPr>
        <w:t xml:space="preserve">Training &amp; Development</w:t>
      </w:r>
      <w:r w:rsidDel="00000000" w:rsidR="00000000" w:rsidRPr="00000000">
        <w:rPr>
          <w:rFonts w:ascii="Google Sans" w:cs="Google Sans" w:eastAsia="Google Sans" w:hAnsi="Google Sans"/>
          <w:color w:val="1f1f1f"/>
          <w:rtl w:val="0"/>
        </w:rPr>
        <w:t xml:space="preserve"> must feature as a primary navigation node, housing the dynamic Upcoming Workshops calendar, details on In-House &amp; Custom Training, and information regarding the premium Annual Consortia (such as the Zanzibar and Malindi events).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w:t>
      </w:r>
      <w:r w:rsidDel="00000000" w:rsidR="00000000" w:rsidRPr="00000000">
        <w:rPr>
          <w:rFonts w:ascii="Google Sans" w:cs="Google Sans" w:eastAsia="Google Sans" w:hAnsi="Google Sans"/>
          <w:b w:val="1"/>
          <w:bCs w:val="1"/>
          <w:color w:val="1f1f1f"/>
          <w:rtl w:val="0"/>
        </w:rPr>
        <w:t xml:space="preserve">Insights &amp; Resources</w:t>
      </w:r>
      <w:r w:rsidDel="00000000" w:rsidR="00000000" w:rsidRPr="00000000">
        <w:rPr>
          <w:rFonts w:ascii="Google Sans" w:cs="Google Sans" w:eastAsia="Google Sans" w:hAnsi="Google Sans"/>
          <w:color w:val="1f1f1f"/>
          <w:rtl w:val="0"/>
        </w:rPr>
        <w:t xml:space="preserve"> section will serve as the repository for Legal Updates (the Court of Appeal Digests) and visual proof via the Gallery (showcasing MSME Awards and Event Photos), culminating in a highly accessible </w:t>
      </w:r>
      <w:r w:rsidDel="00000000" w:rsidR="00000000" w:rsidRPr="00000000">
        <w:rPr>
          <w:rFonts w:ascii="Google Sans" w:cs="Google Sans" w:eastAsia="Google Sans" w:hAnsi="Google Sans"/>
          <w:b w:val="1"/>
          <w:bCs w:val="1"/>
          <w:color w:val="1f1f1f"/>
          <w:rtl w:val="0"/>
        </w:rPr>
        <w:t xml:space="preserve">Contact Us</w:t>
      </w:r>
      <w:r w:rsidDel="00000000" w:rsidR="00000000" w:rsidRPr="00000000">
        <w:rPr>
          <w:rFonts w:ascii="Google Sans" w:cs="Google Sans" w:eastAsia="Google Sans" w:hAnsi="Google Sans"/>
          <w:color w:val="1f1f1f"/>
          <w:rtl w:val="0"/>
        </w:rPr>
        <w:t xml:space="preserve"> page.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Homepage Strategy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homepage must be engineered to immediately answer the user's fundamental questions regarding identity, specialization, and capability without requiring deep scrolling or extensive clicks. The content strategy is mapped as follows: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Section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 Direction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CTA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Hero Section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identity and specialization instantly.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"Trusted Employment, Labour &amp; HR-Law Experts in Kenya. Delivering strategic legal solutions, compliance audits, and certified professional 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 a Consultation] / [View Training Calendar]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Trust 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immediate institutional credibility.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High-fidelity logos of IHRM, NITA, LSK, and the Forty Under 40 Africa award badge.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 users to their specific organizational need.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Present three distinct pillars: Legal Advisory, HR Consulting, and Capacity Building.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[Explore Our Services]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Upcoming 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 event revenue and CPD engagement.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Dynamically pull the next 2-3 chronological events (e.g., A Shift in Employee Discipline Management). Highlight the Date, Venue, and the specific number of IHRM CPD points.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on Luma]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 Choose 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Differentiate from generic law firms.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In-House Legal Partners." Focus the copy on preventative action, practical business application, and a proven ELRC track record.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 About Our Firm]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Latest Insights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 immediate intellectual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recent legal digests, such as updates on the Data Protection Act or recent Sexual Harassment rulings.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 More]</w:t>
            </w:r>
          </w:p>
        </w:tc>
      </w:tr>
    </w:tbl>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Page-by-Page Content Strategy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existing website implementation utilizing "Lorem Ipsum" must be refactored according to the following strategic mapping to align the digital presence with operational reality.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Existing UI Section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Research-Based Content Direction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Architectural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Generic "Services"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generic text ("We provide employers and HR managers with consultancy advice...") must be split into distinct, specialized categories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new content must detail ELRC representation, comprehensive HR audits, and pre-termination redundancy strategies.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Rewrite entirely. Expand service descriptions using insights from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Implement a grid or tabbed UI for distinct services.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Generic "About 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 Ojijo &amp; Partners Consulting explicitly. Detail the firm's experience working with manufacturers, NGOs, and county governments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Add a dedicated profile for Kepher Kiche Ojijo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Rewrite and restructure. Remove any generic legal history and focus entirely on HR/Employment specialization.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Generic "Training"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cannot remain a static text block. It must transform into a structured digital dashboard, cleanly separating "Upcoming Workshops" from "In-House Custom Training" requests.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dynamic card architecture for events, pulling data fields (date, venue, CPD).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Gallery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gallery must highlight specific, verified albums that prove scale and activity: MSME Awards 2025, Justice Momanyi's snapshot, and active training insights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 the component but categorize the imagery by event type to provide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reveals multiple addresses. Ensure the Kindaruma Road and Northcote Apt addresses are clarified or consolidated. Prominently highlight direct WhatsApp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mapping coordinates and layout to prioritize immediate, low-friction contact.</w:t>
            </w:r>
          </w:p>
        </w:tc>
      </w:tr>
    </w:tbl>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Training Website Strategy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training section acts as a critical conversion engine and must be designed as a comprehensive </w:t>
      </w:r>
      <w:r w:rsidDel="00000000" w:rsidR="00000000" w:rsidRPr="00000000">
        <w:rPr>
          <w:rFonts w:ascii="Google Sans" w:cs="Google Sans" w:eastAsia="Google Sans" w:hAnsi="Google Sans"/>
          <w:b w:val="1"/>
          <w:bCs w:val="1"/>
          <w:color w:val="1f1f1f"/>
          <w:rtl w:val="0"/>
        </w:rPr>
        <w:t xml:space="preserve">Training Hub</w:t>
      </w:r>
      <w:r w:rsidDel="00000000" w:rsidR="00000000" w:rsidRPr="00000000">
        <w:rPr>
          <w:rFonts w:ascii="Google Sans" w:cs="Google Sans" w:eastAsia="Google Sans" w:hAnsi="Google Sans"/>
          <w:color w:val="1f1f1f"/>
          <w:rtl w:val="0"/>
        </w:rPr>
        <w:t xml:space="preserve">. The architectural refactoring must utilize the following verified historical and upcoming event data to populate the dynamic training cards and establish the structural template.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Event Title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Format &amp; Venue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Audience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Investment / CPD Points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Shift in Employee Discipline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Emara Ole-Sereni (Jun 11-12,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HR Practitioners, Legal Officers, Compliance Teams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 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UPCOMING</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East Africa Annual HR Law Consortium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Diamonds Malindi (Nov 4-6,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HR Leaders, Compliance Directors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 60,000 / 6 CPD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UPCOMING</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Annual East Africa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Zanzibar (Oct 13-16,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Management, Business Owners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 100,000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UPCOMING</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Employer &amp; The Data Protection 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(Sep 25,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HR Professionals, Data Handlers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 5,000 / 1 CPD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UPCOMING</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HRO - Courtroom Skills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Emara Ole-Sereni (Aug 21,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 Managers, HR Directors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 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UPCOMING</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Organisational Restructuring &amp; Redundancy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(Jul 11,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Employers, Corporate HR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 15,000 / 2 CPD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PAST/ARCHIVED</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event card within this architecture must feature a dedicated "Learning Outcomes" section to justify the investment and an explicit, frictionless external link routing the user directly to the respective Luma URL for transaction completion.</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SEO Strategy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content architecture must align precisely with specific transactional and informational search intents localized to the Kenyan and East African corporate market. The digital copy must avoid keyword stuffing, instead weaving high-value search strings naturally into service descriptions and case digests.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intent pages (the Service sections) must incorporate targeted terminology such as </w:t>
      </w:r>
      <w:r w:rsidDel="00000000" w:rsidR="00000000" w:rsidRPr="00000000">
        <w:rPr>
          <w:rFonts w:ascii="Google Sans" w:cs="Google Sans" w:eastAsia="Google Sans" w:hAnsi="Google Sans"/>
          <w:i w:val="1"/>
          <w:iCs w:val="1"/>
          <w:color w:val="1f1f1f"/>
          <w:rtl w:val="0"/>
        </w:rPr>
        <w:t xml:space="preserve">Employment Lawyer Kenya, Labour Law Advocates Nairobi, HR Legal Compliance Consultants,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ELRC Representation</w:t>
      </w:r>
      <w:r w:rsidDel="00000000" w:rsidR="00000000" w:rsidRPr="00000000">
        <w:rPr>
          <w:rFonts w:ascii="Google Sans" w:cs="Google Sans" w:eastAsia="Google Sans" w:hAnsi="Google Sans"/>
          <w:color w:val="1f1f1f"/>
          <w:rtl w:val="0"/>
        </w:rPr>
        <w:t xml:space="preserve">. Informational intent pages (the Insights and Legal Updates sections) should be engineered to capture long-tail, problem-aware queries from desperate employers. Target themes include </w:t>
      </w:r>
      <w:r w:rsidDel="00000000" w:rsidR="00000000" w:rsidRPr="00000000">
        <w:rPr>
          <w:rFonts w:ascii="Google Sans" w:cs="Google Sans" w:eastAsia="Google Sans" w:hAnsi="Google Sans"/>
          <w:i w:val="1"/>
          <w:iCs w:val="1"/>
          <w:color w:val="1f1f1f"/>
          <w:rtl w:val="0"/>
        </w:rPr>
        <w:t xml:space="preserve">Unfair termination process in Kenya, Redundancy law Kenya, Data Protection Act for Employers Kenya,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IHRM approved CPD training</w:t>
      </w:r>
      <w:r w:rsidDel="00000000" w:rsidR="00000000" w:rsidRPr="00000000">
        <w:rPr>
          <w:rFonts w:ascii="Google Sans" w:cs="Google Sans" w:eastAsia="Google Sans" w:hAnsi="Google Sans"/>
          <w:color w:val="1f1f1f"/>
          <w:rtl w:val="0"/>
        </w:rPr>
        <w:t xml:space="preserve">. By matching the content structure to these highly specific pain points, the website will capture high-intent B2B traffic that generic law firms miss.</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Trust &amp; Credibility System</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signals cannot be relegated to a single "About Us" page; they must be woven throughout the UI, supported entirely by verified data. The implementation must include prominent display of the "Forty Under 40 Africa Achiever - Law (2026)" award to validate leadership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Mentions of IHRM CPD points and NITA affiliations must appear on every relevant training component to guarantee statutory compliance for attendees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the website should highlight the broad sectors served (e.g., Banking, NGOs, Manufacturing) to demonstrate scale, rather than listing specific corporate logos without explicit client authorization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Finally, referencing premium training venues such as Emara Ole-Sereni and Diamonds Malindi implicitly communicates the high tier and financial stability of the organization's operations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Content Voice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brand voice must strike a precise, delicate balance tailored to corporate executives and HR professionals. The tone must be authoritative yet highly accessible. The copy must avoid archaic legal jargon entirely, replacing it with modern, clear corporate risk-management language. The stance should be inherently educational and preventative, speaking directly to the employer's desire to avoid costly litigation and reputational damage. Phrases such as </w:t>
      </w:r>
      <w:r w:rsidDel="00000000" w:rsidR="00000000" w:rsidRPr="00000000">
        <w:rPr>
          <w:rFonts w:ascii="Google Sans" w:cs="Google Sans" w:eastAsia="Google Sans" w:hAnsi="Google Sans"/>
          <w:i w:val="1"/>
          <w:iCs w:val="1"/>
          <w:color w:val="1f1f1f"/>
          <w:rtl w:val="0"/>
        </w:rPr>
        <w:t xml:space="preserve">"Navigating the employment framework," "Minimizing legal exposure,"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"Safeguarding procedural fairness"</w:t>
      </w:r>
      <w:r w:rsidDel="00000000" w:rsidR="00000000" w:rsidRPr="00000000">
        <w:rPr>
          <w:rFonts w:ascii="Google Sans" w:cs="Google Sans" w:eastAsia="Google Sans" w:hAnsi="Google Sans"/>
          <w:color w:val="1f1f1f"/>
          <w:rtl w:val="0"/>
        </w:rPr>
        <w:t xml:space="preserve"> perfectly encapsulate this voice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Unlike personal injury or criminal defense law firms that frequently deploy aggressive, combative language, Ojijo HR Law must project calm, strategic, and sophisticated advisory capability.</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Claims Requiring Verification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rigorous fact-checking process identified several claims currently circulating within the brand's broader digital footprint that require explicit client confirmation before being published on the newly constructed HR Law website.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prominent is the claim that the firm comprises "55 specialists in every field of law." While this is attributed to Ojijo Senaji Advocates, appending this massive headcount to the highly specialized Ojijo &amp; Partners Consulting arm risks diluting the boutique messaging; it must be verified whether this number accurately reflects the HR division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Secondly, the affiliation of Pascal Ojijo must be addressed. The client must confirm whether this Ugandan-based author is an active part of the firm, or simply an individual sharing a surname whose digital footprint intersects through search algorithms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Finally, the status of Joel Kyatha Mbaluka as Managing Partner requires verification to determine if his profile should be featured on the HR Law site, as the current primary focus is heavily on Kepher Kiche Ojijo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Open Questions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finalize the implementation strategy, several operational questions require resolution by the client. Regarding payment gateways, the development team must know whether the website should mention the MPESA Paybill (552800) directly on the native training pages, or if it should rely strictly on Luma to display and process all payment data to prevent accounting discrepancies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Additionally, the client must define which specific advocates and HR consultants require dedicated, individual profile pages on ojijohrlaw.com, aside from the established leadership of Kepher Kiche Ojijo. Finally, resolving the physical address discrepancy is vital; the data shows operations at both Kindaruma Road 714 and Northcote Apartments on Argwings Kodhek Road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address for the HR Consulting arm must be definitively selected for the Contact page footer and local SEO mapping.</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Recommendations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analysis yields three primary recommendations for the website reconstruction. First, the digital property must de-couple entirely from the general legal practice. Ensure that ojijohrlaw.com does not list extraneous services like Aviation, Maritime, or Intellectual Property, remaining purely focused on HR and Employment Law to maintain its specialist premium. Second, the architecture must drastically elevate the presentation of Training. As a robust and highly structured product line, it requires a dedicated, filterable UI component allowing users to sort by Upcoming versus Past events, and Virtual versus Physical formats. Third, regarding content migration, the implementation must port the rich, descriptive event copy directly from Luma onto the native website to capture organic search engine traffic, utilizing Luma solely as a frictionless checkout mechanism rather than a primary discovery platform.</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Implementation Priorities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refactoring of the existing React application must proceed in a phased, logical rollout. Phase 1 requires restructuring the global navigation components to reflect the new, simplified architecture (Home, About, Services, Training, Insights, Contact). Phase 2 involves engineering the dynamic Training and Event cards, establishing the data structures to handle dates, venues, and CPD points, and integrating the external Luma links. Phase 3 is the critical content replacement phase, where all Lorem Ipsum placeholder text across the Service pages is stripped and replaced with the specialized HR and Labour law content developed within this report. Phase 4 finalizes the visual authority of the site by designing and implementing the global "Trust Bar" featuring the IHRM, NITA, and LSK credentials across all relevant viewports.</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Source Register</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documents the critical verified sources utilized to construct this analysis, ensuring complete traceability of all strategic recommendations.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 Referenced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Information Verified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Reliability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ojijogroup.com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Validates position as Employment &amp; Labour Law experts, ELRC representation focus.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Primary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ojijohrlaw.com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 &amp; Partners Consulting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Confirms specific focus on HR Consulting, mediation, and training calendars.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Primary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ojijosenaji.com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 Senaji Advocates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Details the full-service firm capabilities, 55 specialists claim, and diverse practice areas.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Primary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luma.com/ojijogrouptraining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 Group 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Provides granular operational data on event registrations, CPD points, pricing, and premium venues.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Event 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fortyunder40africa.com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Kepher Kiche Ojijo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Verifies the 2026 Achiever in Law award representing the Ojijo Group.</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Third-Party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thekenyatimes.com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Kepher Ojijo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Documents active legal advocacy, including filing petitions to the LSK.</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Third-Party Media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static.nation.co.ke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Ojijo Senaji / LSK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 documentation in the Top notch law firms listing, confirming ADR practice and LSK standing.</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Directory</w:t>
            </w:r>
          </w:p>
        </w:tc>
      </w:tr>
    </w:tbl>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Summary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COMPLETE</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Entities identified:</w:t>
      </w:r>
      <w:r w:rsidDel="00000000" w:rsidR="00000000" w:rsidRPr="00000000">
        <w:rPr>
          <w:rFonts w:ascii="Google Sans" w:cs="Google Sans" w:eastAsia="Google Sans" w:hAnsi="Google Sans"/>
          <w:color w:val="1f1f1f"/>
          <w:rtl w:val="0"/>
        </w:rPr>
        <w:t xml:space="preserve"> The ecosystem consists of Ojijo Group (Umbrella), Ojijo &amp; Partners Consulting / Ojijo HR Law (Specialized HR Advisory), Ojijo Senaji Advocates (Full-service general law firm), and Ojijo Group Training (Professional development and events).</w:t>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Relationships established:</w:t>
      </w:r>
      <w:r w:rsidDel="00000000" w:rsidR="00000000" w:rsidRPr="00000000">
        <w:rPr>
          <w:rFonts w:ascii="Google Sans" w:cs="Google Sans" w:eastAsia="Google Sans" w:hAnsi="Google Sans"/>
          <w:color w:val="1f1f1f"/>
          <w:rtl w:val="0"/>
        </w:rPr>
        <w:t xml:space="preserve"> These are sister entities operating from shared premises, with Ojijo HR Law functioning as the specialized employment law and HR consulting arm distinct from the general litigation practice.</w:t>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specialization:</w:t>
      </w:r>
      <w:r w:rsidDel="00000000" w:rsidR="00000000" w:rsidRPr="00000000">
        <w:rPr>
          <w:rFonts w:ascii="Google Sans" w:cs="Google Sans" w:eastAsia="Google Sans" w:hAnsi="Google Sans"/>
          <w:color w:val="1f1f1f"/>
          <w:rtl w:val="0"/>
        </w:rPr>
        <w:t xml:space="preserve"> The verified market positioning centers entirely on Employment Law, Labour Relations, ELRC Litigation defense, proactive HR Legal Compliance, and Organizational Restructuring.</w:t>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Major services:</w:t>
      </w:r>
      <w:r w:rsidDel="00000000" w:rsidR="00000000" w:rsidRPr="00000000">
        <w:rPr>
          <w:rFonts w:ascii="Google Sans" w:cs="Google Sans" w:eastAsia="Google Sans" w:hAnsi="Google Sans"/>
          <w:color w:val="1f1f1f"/>
          <w:rtl w:val="0"/>
        </w:rPr>
        <w:t xml:space="preserve"> Deliverables include policy drafting, disciplinary hearing facilitation, mediation, management consulting, HR audits, and courtroom skills training for line managers.</w:t>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Training ecosystem:</w:t>
      </w:r>
      <w:r w:rsidDel="00000000" w:rsidR="00000000" w:rsidRPr="00000000">
        <w:rPr>
          <w:rFonts w:ascii="Google Sans" w:cs="Google Sans" w:eastAsia="Google Sans" w:hAnsi="Google Sans"/>
          <w:color w:val="1f1f1f"/>
          <w:rtl w:val="0"/>
        </w:rPr>
        <w:t xml:space="preserve"> Highly active and lucrative. Features high-ticket destination masterclasses in locations like Zanzibar and Malindi, alongside virtual sessions, all providing mandatory IHRM CPD points.</w:t>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Luma relationship:</w:t>
      </w:r>
      <w:r w:rsidDel="00000000" w:rsidR="00000000" w:rsidRPr="00000000">
        <w:rPr>
          <w:rFonts w:ascii="Google Sans" w:cs="Google Sans" w:eastAsia="Google Sans" w:hAnsi="Google Sans"/>
          <w:color w:val="1f1f1f"/>
          <w:rtl w:val="0"/>
        </w:rPr>
        <w:t xml:space="preserve"> Luma functions as the primary event registration, ticketing, and MPESA payment gateway, but should not replace the website as the primary discovery platform.</w:t>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audiences:</w:t>
      </w:r>
      <w:r w:rsidDel="00000000" w:rsidR="00000000" w:rsidRPr="00000000">
        <w:rPr>
          <w:rFonts w:ascii="Google Sans" w:cs="Google Sans" w:eastAsia="Google Sans" w:hAnsi="Google Sans"/>
          <w:color w:val="1f1f1f"/>
          <w:rtl w:val="0"/>
        </w:rPr>
        <w:t xml:space="preserve"> Corporate Employers, HR Directors, Compliance Officers, Line Managers, and Corporate Institutions.</w:t>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Recommended website architecture:</w:t>
      </w:r>
      <w:r w:rsidDel="00000000" w:rsidR="00000000" w:rsidRPr="00000000">
        <w:rPr>
          <w:rFonts w:ascii="Google Sans" w:cs="Google Sans" w:eastAsia="Google Sans" w:hAnsi="Google Sans"/>
          <w:color w:val="1f1f1f"/>
          <w:rtl w:val="0"/>
        </w:rPr>
        <w:t xml:space="preserve"> Model B. The HR Law digital property must remain a specialist platform featuring Home, About, Categorized Services, a dedicated Training Hub, Insights, and Contact pages.</w:t>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Major content changes:</w:t>
      </w:r>
      <w:r w:rsidDel="00000000" w:rsidR="00000000" w:rsidRPr="00000000">
        <w:rPr>
          <w:rFonts w:ascii="Google Sans" w:cs="Google Sans" w:eastAsia="Google Sans" w:hAnsi="Google Sans"/>
          <w:color w:val="1f1f1f"/>
          <w:rtl w:val="0"/>
        </w:rPr>
        <w:t xml:space="preserve"> A total rewrite of all generic legal placeholders is required to focus the narrative exclusively on employer risk mitigation, preventative HR compliance, and capacity building.</w:t>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New pages required:</w:t>
      </w:r>
      <w:r w:rsidDel="00000000" w:rsidR="00000000" w:rsidRPr="00000000">
        <w:rPr>
          <w:rFonts w:ascii="Google Sans" w:cs="Google Sans" w:eastAsia="Google Sans" w:hAnsi="Google Sans"/>
          <w:color w:val="1f1f1f"/>
          <w:rtl w:val="0"/>
        </w:rPr>
        <w:t xml:space="preserve"> Implementation of a dynamic Training Calendar, Individual Event Landing Pages with Luma integration, and highly specific HR Service Pages (e.g., Compliance Audits).</w:t>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Existing pages requiring restructuring:</w:t>
      </w:r>
      <w:r w:rsidDel="00000000" w:rsidR="00000000" w:rsidRPr="00000000">
        <w:rPr>
          <w:rFonts w:ascii="Google Sans" w:cs="Google Sans" w:eastAsia="Google Sans" w:hAnsi="Google Sans"/>
          <w:color w:val="1f1f1f"/>
          <w:rtl w:val="0"/>
        </w:rPr>
        <w:t xml:space="preserve"> The monolithic Services page must be unbundled into distinct pathways; the About Us page must focus strictly on the consulting team and abandon general litigation history.</w:t>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Unverified claims:</w:t>
      </w:r>
      <w:r w:rsidDel="00000000" w:rsidR="00000000" w:rsidRPr="00000000">
        <w:rPr>
          <w:rFonts w:ascii="Google Sans" w:cs="Google Sans" w:eastAsia="Google Sans" w:hAnsi="Google Sans"/>
          <w:color w:val="1f1f1f"/>
          <w:rtl w:val="0"/>
        </w:rPr>
        <w:t xml:space="preserve"> The involvement of author Pascal Ojijo; the applicability of the "55 specialists" claim to the boutique HR consulting firm.</w:t>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Questions requiring Ojijo confirmation:</w:t>
      </w:r>
      <w:r w:rsidDel="00000000" w:rsidR="00000000" w:rsidRPr="00000000">
        <w:rPr>
          <w:rFonts w:ascii="Google Sans" w:cs="Google Sans" w:eastAsia="Google Sans" w:hAnsi="Google Sans"/>
          <w:color w:val="1f1f1f"/>
          <w:rtl w:val="0"/>
        </w:rPr>
        <w:t xml:space="preserve"> Clarification of the primary physical address, exact team members to be profiled, and MPESA paybill front-end display preferences.</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STEERING/OJIJO_RESEARCH/13_CONTENT_REFACTORING_PROMPT.md</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INSTRUCTION FOR IMPLEMENTATION AGENT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the UI/UX Implementation and Content Refactoring Agent. Your objective is to execute the digital reconstruction of the ojijohrlaw.com website, translating the strategic insights of the comprehensive research report into a functional, highly specialized digital property.</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Prerequisites for Execution:</w:t>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You must read and assimilate the complete Ojijo Comprehensive Organizational &amp; Website Research report provided above to understand the distinct business model.</w:t>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Inspect the existing React application implementation and its current component structure to identify where data mapping will occur.</w:t>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Review the reference screenshots to ensure absolute visual fidelity is maintained throughout the content integration process.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Directives:</w:t>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Information Architecture Update:</w:t>
      </w:r>
      <w:r w:rsidDel="00000000" w:rsidR="00000000" w:rsidRPr="00000000">
        <w:rPr>
          <w:rFonts w:ascii="Google Sans" w:cs="Google Sans" w:eastAsia="Google Sans" w:hAnsi="Google Sans"/>
          <w:color w:val="1f1f1f"/>
          <w:rtl w:val="0"/>
        </w:rPr>
        <w:t xml:space="preserve"> Map the meticulously researched organizational structure directly to the existing website framework. You must change all generic navigation links to reflect the highly specialized nature of the firm. Specifically, refactor generic "Services" drop-downs into targeted pathways: "Employment Litigation", "HR Compliance Audits", and "Workplace Dispute Resolution".</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Content Replacement:</w:t>
      </w:r>
      <w:r w:rsidDel="00000000" w:rsidR="00000000" w:rsidRPr="00000000">
        <w:rPr>
          <w:rFonts w:ascii="Google Sans" w:cs="Google Sans" w:eastAsia="Google Sans" w:hAnsi="Google Sans"/>
          <w:color w:val="1f1f1f"/>
          <w:rtl w:val="0"/>
        </w:rPr>
        <w:t xml:space="preserve"> Systematically strip all Lorem Ipsum placeholder text across the application. Do NOT replace this with generic, AI-generated law-firm copy. You must use the precise, evidence-based content derived from the research report. Adopt and maintain the established brand voice: authoritative, highly educational, and relentlessly focused on corporate employer risk mitigation.</w:t>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Entity Clarity:</w:t>
      </w:r>
      <w:r w:rsidDel="00000000" w:rsidR="00000000" w:rsidRPr="00000000">
        <w:rPr>
          <w:rFonts w:ascii="Google Sans" w:cs="Google Sans" w:eastAsia="Google Sans" w:hAnsi="Google Sans"/>
          <w:color w:val="1f1f1f"/>
          <w:rtl w:val="0"/>
        </w:rPr>
        <w:t xml:space="preserve"> Ensure the website explicitly represents "Ojijo &amp; Partners Consulting" (Ojijo HR Law) and structurally differentiates it from "Ojijo Senaji Advocates". You must remove any legacy or accidental references to Aviation, Maritime, or Intellectual Property law to preserve the specialized brand positioning.</w:t>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Training Hub Implementation:</w:t>
      </w:r>
      <w:r w:rsidDel="00000000" w:rsidR="00000000" w:rsidRPr="00000000">
        <w:rPr>
          <w:rFonts w:ascii="Google Sans" w:cs="Google Sans" w:eastAsia="Google Sans" w:hAnsi="Google Sans"/>
          <w:color w:val="1f1f1f"/>
          <w:rtl w:val="0"/>
        </w:rPr>
        <w:t xml:space="preserve"> Build a rich, dynamic, and filterable component for the Training section. Implement structured event cards for the verified upcoming events (e.g., "A Shift in Employee Discipline Management", "East Africa Annual HR Law Consortium").</w:t>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Luma Integration:</w:t>
      </w:r>
      <w:r w:rsidDel="00000000" w:rsidR="00000000" w:rsidRPr="00000000">
        <w:rPr>
          <w:rFonts w:ascii="Google Sans" w:cs="Google Sans" w:eastAsia="Google Sans" w:hAnsi="Google Sans"/>
          <w:color w:val="1f1f1f"/>
          <w:rtl w:val="0"/>
        </w:rPr>
        <w:t xml:space="preserve"> Under no circumstances should you attempt to build a custom registration or checkout database. Each dynamic training event card must contain a CTA that links externally to the respective Luma registration page, or, if supported by the UI design framework, embed the Luma widget directly. You must display IHRM CPD points prominently on these cards as they are a primary conversion driver.</w:t>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Trust Signals:</w:t>
      </w:r>
      <w:r w:rsidDel="00000000" w:rsidR="00000000" w:rsidRPr="00000000">
        <w:rPr>
          <w:rFonts w:ascii="Google Sans" w:cs="Google Sans" w:eastAsia="Google Sans" w:hAnsi="Google Sans"/>
          <w:color w:val="1f1f1f"/>
          <w:rtl w:val="0"/>
        </w:rPr>
        <w:t xml:space="preserve"> Integrate the "Forty Under 40 Africa" award badge, IHRM accreditations, and NITA references into a prominent, globally visible Trust Bar or within the highly trafficked About section.</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Visual Fidelity:</w:t>
      </w:r>
      <w:r w:rsidDel="00000000" w:rsidR="00000000" w:rsidRPr="00000000">
        <w:rPr>
          <w:rFonts w:ascii="Google Sans" w:cs="Google Sans" w:eastAsia="Google Sans" w:hAnsi="Google Sans"/>
          <w:color w:val="1f1f1f"/>
          <w:rtl w:val="0"/>
        </w:rPr>
        <w:t xml:space="preserve"> Do not force the expansive, researched content into broken or restrictive UI components. If a specialized service description is longer than the original placeholder, adjust the CSS and React component structure gracefully to accommodate the business reality without breaking the layout. Maintain all previously established animations, transitions, and UI refinements.</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Flagging for Review:</w:t>
      </w:r>
      <w:r w:rsidDel="00000000" w:rsidR="00000000" w:rsidRPr="00000000">
        <w:rPr>
          <w:rFonts w:ascii="Google Sans" w:cs="Google Sans" w:eastAsia="Google Sans" w:hAnsi="Google Sans"/>
          <w:color w:val="1f1f1f"/>
          <w:rtl w:val="0"/>
        </w:rPr>
        <w:t xml:space="preserve"> If any UI element requires data explicitly identified in the report as "Requiring Client Confirmation" (e.g., specific team profiles, the 55-specialist claim, or the exact primary office address), you must insert a prominent developer comment in the code (e.g., &lt;!-- CLIENT CONFIRMATION NEEDED: Verify Primary Address before deployment --&gt;) to ensure compliance before production release.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Proceed with refactoring the application structure and content architecture according to these parameters.</w:t>
      </w:r>
    </w:p>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Ojijo &amp; Partners Consulting - Employment, Labour &amp; HR-Law Experts, </w:t>
      </w:r>
      <w:hyperlink r:id="rId6">
        <w:r w:rsidDel="00000000" w:rsidR="00000000" w:rsidRPr="00000000">
          <w:rPr>
            <w:rFonts w:ascii="Google Sans" w:cs="Google Sans" w:eastAsia="Google Sans" w:hAnsi="Google Sans"/>
            <w:color w:val="0000ee"/>
            <w:sz w:val="24"/>
            <w:szCs w:val="24"/>
            <w:u w:val="single"/>
            <w:rtl w:val="0"/>
          </w:rPr>
          <w:t xml:space="preserve">https://ojijohrlaw.com/services1.html</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Ojijo Group: Employment &amp; Labour Law Experts in Kenya, </w:t>
      </w:r>
      <w:hyperlink r:id="rId7">
        <w:r w:rsidDel="00000000" w:rsidR="00000000" w:rsidRPr="00000000">
          <w:rPr>
            <w:rFonts w:ascii="Google Sans" w:cs="Google Sans" w:eastAsia="Google Sans" w:hAnsi="Google Sans"/>
            <w:color w:val="0000ee"/>
            <w:sz w:val="24"/>
            <w:szCs w:val="24"/>
            <w:u w:val="single"/>
            <w:rtl w:val="0"/>
          </w:rPr>
          <w:t xml:space="preserve">https://www.ojijogroup.com/</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rFonts w:ascii="Google Sans" w:cs="Google Sans" w:eastAsia="Google Sans" w:hAnsi="Google Sans"/>
            <w:color w:val="0000ee"/>
            <w:sz w:val="24"/>
            <w:szCs w:val="24"/>
            <w:u w:val="single"/>
            <w:rtl w:val="0"/>
          </w:rPr>
          <w:t xml:space="preserve">https://ojijohrlaw.com/</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Ojijo Senaji Advocates Jobs in Kenya - MyJobMag, </w:t>
      </w:r>
      <w:hyperlink r:id="rId9">
        <w:r w:rsidDel="00000000" w:rsidR="00000000" w:rsidRPr="00000000">
          <w:rPr>
            <w:rFonts w:ascii="Google Sans" w:cs="Google Sans" w:eastAsia="Google Sans" w:hAnsi="Google Sans"/>
            <w:color w:val="0000ee"/>
            <w:sz w:val="24"/>
            <w:szCs w:val="24"/>
            <w:u w:val="single"/>
            <w:rtl w:val="0"/>
          </w:rPr>
          <w:t xml:space="preserve">https://www.myjobmag.co.ke/jobs-at/ojijo-senaji-advocates</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Ojijo Senaji &amp; Associates, </w:t>
      </w:r>
      <w:hyperlink r:id="rId10">
        <w:r w:rsidDel="00000000" w:rsidR="00000000" w:rsidRPr="00000000">
          <w:rPr>
            <w:rFonts w:ascii="Google Sans" w:cs="Google Sans" w:eastAsia="Google Sans" w:hAnsi="Google Sans"/>
            <w:color w:val="0000ee"/>
            <w:sz w:val="24"/>
            <w:szCs w:val="24"/>
            <w:u w:val="single"/>
            <w:rtl w:val="0"/>
          </w:rPr>
          <w:t xml:space="preserve">https://ojijohrlaw.com/about.html</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Ojijo Group Training · Events Calendar - Luma, </w:t>
      </w:r>
      <w:hyperlink r:id="rId11">
        <w:r w:rsidDel="00000000" w:rsidR="00000000" w:rsidRPr="00000000">
          <w:rPr>
            <w:rFonts w:ascii="Google Sans" w:cs="Google Sans" w:eastAsia="Google Sans" w:hAnsi="Google Sans"/>
            <w:color w:val="0000ee"/>
            <w:sz w:val="24"/>
            <w:szCs w:val="24"/>
            <w:u w:val="single"/>
            <w:rtl w:val="0"/>
          </w:rPr>
          <w:t xml:space="preserve">https://luma.com/ojijogrouptraining</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HRO - Courtroom Skills ( The Dos &amp; Don'ts for HR and Line Managers), </w:t>
      </w:r>
      <w:hyperlink r:id="rId12">
        <w:r w:rsidDel="00000000" w:rsidR="00000000" w:rsidRPr="00000000">
          <w:rPr>
            <w:rFonts w:ascii="Google Sans" w:cs="Google Sans" w:eastAsia="Google Sans" w:hAnsi="Google Sans"/>
            <w:color w:val="0000ee"/>
            <w:sz w:val="24"/>
            <w:szCs w:val="24"/>
            <w:u w:val="single"/>
            <w:rtl w:val="0"/>
          </w:rPr>
          <w:t xml:space="preserve">https://luma.com/722qtn04</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Ojijo Senaji Advocates, Nairobi - sheriaplex.com, </w:t>
      </w:r>
      <w:hyperlink r:id="rId13">
        <w:r w:rsidDel="00000000" w:rsidR="00000000" w:rsidRPr="00000000">
          <w:rPr>
            <w:rFonts w:ascii="Google Sans" w:cs="Google Sans" w:eastAsia="Google Sans" w:hAnsi="Google Sans"/>
            <w:color w:val="0000ee"/>
            <w:sz w:val="24"/>
            <w:szCs w:val="24"/>
            <w:u w:val="single"/>
            <w:rtl w:val="0"/>
          </w:rPr>
          <w:t xml:space="preserve">https://www.sheriaplex.com/law-firms/95-ojijo-senaji-advocates</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Ojijo Senaji &amp; Associates, </w:t>
      </w:r>
      <w:hyperlink r:id="rId14">
        <w:r w:rsidDel="00000000" w:rsidR="00000000" w:rsidRPr="00000000">
          <w:rPr>
            <w:rFonts w:ascii="Google Sans" w:cs="Google Sans" w:eastAsia="Google Sans" w:hAnsi="Google Sans"/>
            <w:color w:val="0000ee"/>
            <w:sz w:val="24"/>
            <w:szCs w:val="24"/>
            <w:u w:val="single"/>
            <w:rtl w:val="0"/>
          </w:rPr>
          <w:t xml:space="preserve">https://ojijohrlaw.com/contact.html</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Ojijo Senaji Advocates – Reputation. Respect. Results., </w:t>
      </w:r>
      <w:hyperlink r:id="rId15">
        <w:r w:rsidDel="00000000" w:rsidR="00000000" w:rsidRPr="00000000">
          <w:rPr>
            <w:rFonts w:ascii="Google Sans" w:cs="Google Sans" w:eastAsia="Google Sans" w:hAnsi="Google Sans"/>
            <w:color w:val="0000ee"/>
            <w:sz w:val="24"/>
            <w:szCs w:val="24"/>
            <w:u w:val="single"/>
            <w:rtl w:val="0"/>
          </w:rPr>
          <w:t xml:space="preserve">https://ojijosenaji.com/</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East Africa Benchmark on Effective Corporate Governance, </w:t>
      </w:r>
      <w:hyperlink r:id="rId16">
        <w:r w:rsidDel="00000000" w:rsidR="00000000" w:rsidRPr="00000000">
          <w:rPr>
            <w:rFonts w:ascii="Google Sans" w:cs="Google Sans" w:eastAsia="Google Sans" w:hAnsi="Google Sans"/>
            <w:color w:val="0000ee"/>
            <w:sz w:val="24"/>
            <w:szCs w:val="24"/>
            <w:u w:val="single"/>
            <w:rtl w:val="0"/>
          </w:rPr>
          <w:t xml:space="preserve">https://luma.com/lhi93y9l</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East Africa Annual HR Law Consortium- A Benchmark on Global HR, </w:t>
      </w:r>
      <w:hyperlink r:id="rId17">
        <w:r w:rsidDel="00000000" w:rsidR="00000000" w:rsidRPr="00000000">
          <w:rPr>
            <w:rFonts w:ascii="Google Sans" w:cs="Google Sans" w:eastAsia="Google Sans" w:hAnsi="Google Sans"/>
            <w:color w:val="0000ee"/>
            <w:sz w:val="24"/>
            <w:szCs w:val="24"/>
            <w:u w:val="single"/>
            <w:rtl w:val="0"/>
          </w:rPr>
          <w:t xml:space="preserve">https://luma.com/7win5gi3</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Notch Law Firms - CDN Content Manager, </w:t>
      </w:r>
      <w:hyperlink r:id="rId18">
        <w:r w:rsidDel="00000000" w:rsidR="00000000" w:rsidRPr="00000000">
          <w:rPr>
            <w:rFonts w:ascii="Google Sans" w:cs="Google Sans" w:eastAsia="Google Sans" w:hAnsi="Google Sans"/>
            <w:color w:val="0000ee"/>
            <w:sz w:val="24"/>
            <w:szCs w:val="24"/>
            <w:u w:val="single"/>
            <w:rtl w:val="0"/>
          </w:rPr>
          <w:t xml:space="preserve">https://static.nation.co.ke/pdfs/Top_Notch_Law_Firms-27022023.pdf</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AWARD WINNERS - Forty Under 40 – Africa, </w:t>
      </w:r>
      <w:hyperlink r:id="rId19">
        <w:r w:rsidDel="00000000" w:rsidR="00000000" w:rsidRPr="00000000">
          <w:rPr>
            <w:rFonts w:ascii="Google Sans" w:cs="Google Sans" w:eastAsia="Google Sans" w:hAnsi="Google Sans"/>
            <w:color w:val="0000ee"/>
            <w:sz w:val="24"/>
            <w:szCs w:val="24"/>
            <w:u w:val="single"/>
            <w:rtl w:val="0"/>
          </w:rPr>
          <w:t xml:space="preserve">https://fortyunder40africa.com/award-winners/</w:t>
        </w:r>
      </w:hyperlink>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 Ojijo &amp; Partners Consulting, </w:t>
      </w:r>
      <w:hyperlink r:id="rId20">
        <w:r w:rsidDel="00000000" w:rsidR="00000000" w:rsidRPr="00000000">
          <w:rPr>
            <w:rFonts w:ascii="Google Sans" w:cs="Google Sans" w:eastAsia="Google Sans" w:hAnsi="Google Sans"/>
            <w:color w:val="0000ee"/>
            <w:sz w:val="24"/>
            <w:szCs w:val="24"/>
            <w:u w:val="single"/>
            <w:rtl w:val="0"/>
          </w:rPr>
          <w:t xml:space="preserve">https://www.ojijohrlaw.com/training.html</w:t>
        </w:r>
      </w:hyperlink>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Practice Areas - Ojijo Senaji Advocates, </w:t>
      </w:r>
      <w:hyperlink r:id="rId21">
        <w:r w:rsidDel="00000000" w:rsidR="00000000" w:rsidRPr="00000000">
          <w:rPr>
            <w:rFonts w:ascii="Google Sans" w:cs="Google Sans" w:eastAsia="Google Sans" w:hAnsi="Google Sans"/>
            <w:color w:val="0000ee"/>
            <w:sz w:val="24"/>
            <w:szCs w:val="24"/>
            <w:u w:val="single"/>
            <w:rtl w:val="0"/>
          </w:rPr>
          <w:t xml:space="preserve">https://ojijosenaji.com/practice-areas/</w:t>
        </w:r>
      </w:hyperlink>
      <w:r w:rsidDel="00000000" w:rsidR="00000000" w:rsidRPr="00000000">
        <w:rPr>
          <w:rtl w:val="0"/>
        </w:rPr>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Strategies &amp; Guidelines on Organisational Restructuring, </w:t>
      </w:r>
      <w:hyperlink r:id="rId22">
        <w:r w:rsidDel="00000000" w:rsidR="00000000" w:rsidRPr="00000000">
          <w:rPr>
            <w:rFonts w:ascii="Google Sans" w:cs="Google Sans" w:eastAsia="Google Sans" w:hAnsi="Google Sans"/>
            <w:color w:val="0000ee"/>
            <w:sz w:val="24"/>
            <w:szCs w:val="24"/>
            <w:u w:val="single"/>
            <w:rtl w:val="0"/>
          </w:rPr>
          <w:t xml:space="preserve">https://luma.com/h0cbyoiq</w:t>
        </w:r>
      </w:hyperlink>
      <w:r w:rsidDel="00000000" w:rsidR="00000000" w:rsidRPr="00000000">
        <w:rPr>
          <w:rtl w:val="0"/>
        </w:rPr>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Petition Filed to Strike Kindiki and Murkomen Off Advocates' List, </w:t>
      </w:r>
      <w:hyperlink r:id="rId23">
        <w:r w:rsidDel="00000000" w:rsidR="00000000" w:rsidRPr="00000000">
          <w:rPr>
            <w:rFonts w:ascii="Google Sans" w:cs="Google Sans" w:eastAsia="Google Sans" w:hAnsi="Google Sans"/>
            <w:color w:val="0000ee"/>
            <w:sz w:val="24"/>
            <w:szCs w:val="24"/>
            <w:u w:val="single"/>
            <w:rtl w:val="0"/>
          </w:rPr>
          <w:t xml:space="preserve">https://thekenyatimes.com/latest-kenya-times-news/petition-filed-to-strike-kindiki-and-murkomen-off-advocates-list/</w:t>
        </w:r>
      </w:hyperlink>
      <w:r w:rsidDel="00000000" w:rsidR="00000000" w:rsidRPr="00000000">
        <w:rPr>
          <w:rtl w:val="0"/>
        </w:rPr>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Court Board — Wednesday, March 25, 2026, </w:t>
      </w:r>
      <w:hyperlink r:id="rId24">
        <w:r w:rsidDel="00000000" w:rsidR="00000000" w:rsidRPr="00000000">
          <w:rPr>
            <w:rFonts w:ascii="Google Sans" w:cs="Google Sans" w:eastAsia="Google Sans" w:hAnsi="Google Sans"/>
            <w:color w:val="0000ee"/>
            <w:sz w:val="24"/>
            <w:szCs w:val="24"/>
            <w:u w:val="single"/>
            <w:rtl w:val="0"/>
          </w:rPr>
          <w:t xml:space="preserve">https://app.hklaw.co.ke/live-board?date=2026-03-25&amp;courtroom_id=84</w:t>
        </w:r>
      </w:hyperlink>
      <w:r w:rsidDel="00000000" w:rsidR="00000000" w:rsidRPr="00000000">
        <w:rPr>
          <w:rtl w:val="0"/>
        </w:rPr>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Ojijo profile &amp; cv | DOC - Slideshare, </w:t>
      </w:r>
      <w:hyperlink r:id="rId25">
        <w:r w:rsidDel="00000000" w:rsidR="00000000" w:rsidRPr="00000000">
          <w:rPr>
            <w:rFonts w:ascii="Google Sans" w:cs="Google Sans" w:eastAsia="Google Sans" w:hAnsi="Google Sans"/>
            <w:color w:val="0000ee"/>
            <w:sz w:val="24"/>
            <w:szCs w:val="24"/>
            <w:u w:val="single"/>
            <w:rtl w:val="0"/>
          </w:rPr>
          <w:t xml:space="preserve">https://www.slideshare.net/slideshow/ojijo-profile-cv/8345249</w:t>
        </w:r>
      </w:hyperlink>
      <w:r w:rsidDel="00000000" w:rsidR="00000000" w:rsidRPr="00000000">
        <w:rPr>
          <w:rtl w:val="0"/>
        </w:rPr>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Ojijo Ogilo Mark Pascal – Profile, </w:t>
      </w:r>
      <w:hyperlink r:id="rId26">
        <w:r w:rsidDel="00000000" w:rsidR="00000000" w:rsidRPr="00000000">
          <w:rPr>
            <w:rFonts w:ascii="Google Sans" w:cs="Google Sans" w:eastAsia="Google Sans" w:hAnsi="Google Sans"/>
            <w:color w:val="0000ee"/>
            <w:sz w:val="24"/>
            <w:szCs w:val="24"/>
            <w:u w:val="single"/>
            <w:rtl w:val="0"/>
          </w:rPr>
          <w:t xml:space="preserve">https://global-leadership.com/index.php/ojijo-ogilo-mark-pascal-profile/</w:t>
        </w:r>
      </w:hyperlink>
      <w:r w:rsidDel="00000000" w:rsidR="00000000" w:rsidRPr="00000000">
        <w:rPr>
          <w:rtl w:val="0"/>
        </w:rPr>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Shift in Employee Discipline Management (Court of Appeal Digest, </w:t>
      </w:r>
      <w:hyperlink r:id="rId27">
        <w:r w:rsidDel="00000000" w:rsidR="00000000" w:rsidRPr="00000000">
          <w:rPr>
            <w:rFonts w:ascii="Google Sans" w:cs="Google Sans" w:eastAsia="Google Sans" w:hAnsi="Google Sans"/>
            <w:color w:val="0000ee"/>
            <w:sz w:val="24"/>
            <w:szCs w:val="24"/>
            <w:u w:val="single"/>
            <w:rtl w:val="0"/>
          </w:rPr>
          <w:t xml:space="preserve">https://luma.com/0ub432iw</w:t>
        </w:r>
      </w:hyperlink>
      <w:r w:rsidDel="00000000" w:rsidR="00000000" w:rsidRPr="00000000">
        <w:rPr>
          <w:rtl w:val="0"/>
        </w:rPr>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Strategies &amp; Guidelines on Organisational Restructuring, </w:t>
      </w:r>
      <w:hyperlink r:id="rId28">
        <w:r w:rsidDel="00000000" w:rsidR="00000000" w:rsidRPr="00000000">
          <w:rPr>
            <w:rFonts w:ascii="Google Sans" w:cs="Google Sans" w:eastAsia="Google Sans" w:hAnsi="Google Sans"/>
            <w:color w:val="0000ee"/>
            <w:sz w:val="24"/>
            <w:szCs w:val="24"/>
            <w:u w:val="single"/>
            <w:rtl w:val="0"/>
          </w:rPr>
          <w:t xml:space="preserve">https://luma.com/embed/event/evt-5Nfcd1gYowJDgj1/simple</w:t>
        </w:r>
      </w:hyperlink>
      <w:r w:rsidDel="00000000" w:rsidR="00000000" w:rsidRPr="00000000">
        <w:rPr>
          <w:rtl w:val="0"/>
        </w:rPr>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Employer &amp; The Data Protection Act: Do's &amp; Don'ts. - Luma, </w:t>
      </w:r>
      <w:hyperlink r:id="rId29">
        <w:r w:rsidDel="00000000" w:rsidR="00000000" w:rsidRPr="00000000">
          <w:rPr>
            <w:rFonts w:ascii="Google Sans" w:cs="Google Sans" w:eastAsia="Google Sans" w:hAnsi="Google Sans"/>
            <w:color w:val="0000ee"/>
            <w:sz w:val="24"/>
            <w:szCs w:val="24"/>
            <w:u w:val="single"/>
            <w:rtl w:val="0"/>
          </w:rPr>
          <w:t xml:space="preserve">https://luma.com/55hm85gn</w:t>
        </w:r>
      </w:hyperlink>
      <w:r w:rsidDel="00000000" w:rsidR="00000000" w:rsidRPr="00000000">
        <w:rPr>
          <w:rtl w:val="0"/>
        </w:rPr>
      </w:r>
    </w:p>
    <w:p w:rsidR="00000000" w:rsidDel="00000000" w:rsidP="00000000" w:rsidRDefault="00000000" w:rsidRPr="00000000" w14:paraId="000001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Your Business Needs HR Legal Consultancy in kenya, </w:t>
      </w:r>
      <w:hyperlink r:id="rId30">
        <w:r w:rsidDel="00000000" w:rsidR="00000000" w:rsidRPr="00000000">
          <w:rPr>
            <w:rFonts w:ascii="Google Sans" w:cs="Google Sans" w:eastAsia="Google Sans" w:hAnsi="Google Sans"/>
            <w:color w:val="0000ee"/>
            <w:sz w:val="24"/>
            <w:szCs w:val="24"/>
            <w:u w:val="single"/>
            <w:rtl w:val="0"/>
          </w:rPr>
          <w:t xml:space="preserve">https://www.wka.co.ke/why-your-business-needs-hr-legal-consultancy-in-kenya/</w:t>
        </w:r>
      </w:hyperlink>
      <w:r w:rsidDel="00000000" w:rsidR="00000000" w:rsidRPr="00000000">
        <w:rPr>
          <w:rtl w:val="0"/>
        </w:rPr>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Law Firms in Kenya - KenyaBizList, </w:t>
      </w:r>
      <w:hyperlink r:id="rId31">
        <w:r w:rsidDel="00000000" w:rsidR="00000000" w:rsidRPr="00000000">
          <w:rPr>
            <w:rFonts w:ascii="Google Sans" w:cs="Google Sans" w:eastAsia="Google Sans" w:hAnsi="Google Sans"/>
            <w:color w:val="0000ee"/>
            <w:sz w:val="24"/>
            <w:szCs w:val="24"/>
            <w:u w:val="single"/>
            <w:rtl w:val="0"/>
          </w:rPr>
          <w:t xml:space="preserve">https://www.kenyabizlist.com/category/law-firms</w:t>
        </w:r>
      </w:hyperlink>
      <w:r w:rsidDel="00000000" w:rsidR="00000000" w:rsidRPr="00000000">
        <w:rPr>
          <w:rtl w:val="0"/>
        </w:rPr>
      </w:r>
    </w:p>
    <w:p w:rsidR="00000000" w:rsidDel="00000000" w:rsidP="00000000" w:rsidRDefault="00000000" w:rsidRPr="00000000" w14:paraId="000001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Legally Compliant are your Organization's HR Policies?, </w:t>
      </w:r>
      <w:hyperlink r:id="rId32">
        <w:r w:rsidDel="00000000" w:rsidR="00000000" w:rsidRPr="00000000">
          <w:rPr>
            <w:rFonts w:ascii="Google Sans" w:cs="Google Sans" w:eastAsia="Google Sans" w:hAnsi="Google Sans"/>
            <w:color w:val="0000ee"/>
            <w:sz w:val="24"/>
            <w:szCs w:val="24"/>
            <w:u w:val="single"/>
            <w:rtl w:val="0"/>
          </w:rPr>
          <w:t xml:space="preserve">https://www.fke-kenya.org/media-center/news/how-legally-compliant-are-your-organizations-hr-policies</w:t>
        </w:r>
      </w:hyperlink>
      <w:r w:rsidDel="00000000" w:rsidR="00000000" w:rsidRPr="00000000">
        <w:rPr>
          <w:rtl w:val="0"/>
        </w:rPr>
      </w:r>
    </w:p>
    <w:p w:rsidR="00000000" w:rsidDel="00000000" w:rsidP="00000000" w:rsidRDefault="00000000" w:rsidRPr="00000000" w14:paraId="000001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Useless Constitutional Institutions: The Kenyan GenZ Movement, </w:t>
      </w:r>
      <w:hyperlink r:id="rId33">
        <w:r w:rsidDel="00000000" w:rsidR="00000000" w:rsidRPr="00000000">
          <w:rPr>
            <w:rFonts w:ascii="Google Sans" w:cs="Google Sans" w:eastAsia="Google Sans" w:hAnsi="Google Sans"/>
            <w:color w:val="0000ee"/>
            <w:sz w:val="24"/>
            <w:szCs w:val="24"/>
            <w:u w:val="single"/>
            <w:rtl w:val="0"/>
          </w:rPr>
          <w:t xml:space="preserve">https://luma.com/mf9rhfn4</w:t>
        </w:r>
      </w:hyperlink>
      <w:r w:rsidDel="00000000" w:rsidR="00000000" w:rsidRPr="00000000">
        <w:rPr>
          <w:rtl w:val="0"/>
        </w:rPr>
      </w:r>
    </w:p>
    <w:p w:rsidR="00000000" w:rsidDel="00000000" w:rsidP="00000000" w:rsidRDefault="00000000" w:rsidRPr="00000000" w14:paraId="000001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Gallery - Employment, Labour &amp; HR-Law Experts, </w:t>
      </w:r>
      <w:hyperlink r:id="rId34">
        <w:r w:rsidDel="00000000" w:rsidR="00000000" w:rsidRPr="00000000">
          <w:rPr>
            <w:rFonts w:ascii="Google Sans" w:cs="Google Sans" w:eastAsia="Google Sans" w:hAnsi="Google Sans"/>
            <w:color w:val="0000ee"/>
            <w:sz w:val="24"/>
            <w:szCs w:val="24"/>
            <w:u w:val="single"/>
            <w:rtl w:val="0"/>
          </w:rPr>
          <w:t xml:space="preserve">https://ojijohrlaw.com/Gallery.html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jijohrlaw.com/training.html" TargetMode="External"/><Relationship Id="rId22" Type="http://schemas.openxmlformats.org/officeDocument/2006/relationships/hyperlink" Target="https://luma.com/h0cbyoiq" TargetMode="External"/><Relationship Id="rId21" Type="http://schemas.openxmlformats.org/officeDocument/2006/relationships/hyperlink" Target="https://ojijosenaji.com/practice-areas/" TargetMode="External"/><Relationship Id="rId24" Type="http://schemas.openxmlformats.org/officeDocument/2006/relationships/hyperlink" Target="https://app.hklaw.co.ke/live-board?date=2026-03-25&amp;courtroom_id=84" TargetMode="External"/><Relationship Id="rId23" Type="http://schemas.openxmlformats.org/officeDocument/2006/relationships/hyperlink" Target="https://thekenyatimes.com/latest-kenya-times-news/petition-filed-to-strike-kindiki-and-murkomen-off-advocates-l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yjobmag.co.ke/jobs-at/ojijo-senaji-advocates" TargetMode="External"/><Relationship Id="rId26" Type="http://schemas.openxmlformats.org/officeDocument/2006/relationships/hyperlink" Target="https://global-leadership.com/index.php/ojijo-ogilo-mark-pascal-profile/" TargetMode="External"/><Relationship Id="rId25" Type="http://schemas.openxmlformats.org/officeDocument/2006/relationships/hyperlink" Target="https://www.slideshare.net/slideshow/ojijo-profile-cv/8345249" TargetMode="External"/><Relationship Id="rId28" Type="http://schemas.openxmlformats.org/officeDocument/2006/relationships/hyperlink" Target="https://luma.com/embed/event/evt-5Nfcd1gYowJDgj1/simple" TargetMode="External"/><Relationship Id="rId27" Type="http://schemas.openxmlformats.org/officeDocument/2006/relationships/hyperlink" Target="https://luma.com/0ub432iw" TargetMode="External"/><Relationship Id="rId5" Type="http://schemas.openxmlformats.org/officeDocument/2006/relationships/styles" Target="styles.xml"/><Relationship Id="rId6" Type="http://schemas.openxmlformats.org/officeDocument/2006/relationships/hyperlink" Target="https://ojijohrlaw.com/services1.html" TargetMode="External"/><Relationship Id="rId29" Type="http://schemas.openxmlformats.org/officeDocument/2006/relationships/hyperlink" Target="https://luma.com/55hm85gn" TargetMode="External"/><Relationship Id="rId7" Type="http://schemas.openxmlformats.org/officeDocument/2006/relationships/hyperlink" Target="https://www.ojijogroup.com/" TargetMode="External"/><Relationship Id="rId8" Type="http://schemas.openxmlformats.org/officeDocument/2006/relationships/hyperlink" Target="https://ojijohrlaw.com/" TargetMode="External"/><Relationship Id="rId31" Type="http://schemas.openxmlformats.org/officeDocument/2006/relationships/hyperlink" Target="https://www.kenyabizlist.com/category/law-firms" TargetMode="External"/><Relationship Id="rId30" Type="http://schemas.openxmlformats.org/officeDocument/2006/relationships/hyperlink" Target="https://www.wka.co.ke/why-your-business-needs-hr-legal-consultancy-in-kenya/" TargetMode="External"/><Relationship Id="rId11" Type="http://schemas.openxmlformats.org/officeDocument/2006/relationships/hyperlink" Target="https://luma.com/ojijogrouptraining" TargetMode="External"/><Relationship Id="rId33" Type="http://schemas.openxmlformats.org/officeDocument/2006/relationships/hyperlink" Target="https://luma.com/mf9rhfn4" TargetMode="External"/><Relationship Id="rId10" Type="http://schemas.openxmlformats.org/officeDocument/2006/relationships/hyperlink" Target="https://ojijohrlaw.com/about.html" TargetMode="External"/><Relationship Id="rId32" Type="http://schemas.openxmlformats.org/officeDocument/2006/relationships/hyperlink" Target="https://www.fke-kenya.org/media-center/news/how-legally-compliant-are-your-organizations-hr-policies" TargetMode="External"/><Relationship Id="rId13" Type="http://schemas.openxmlformats.org/officeDocument/2006/relationships/hyperlink" Target="https://www.sheriaplex.com/law-firms/95-ojijo-senaji-advocates" TargetMode="External"/><Relationship Id="rId12" Type="http://schemas.openxmlformats.org/officeDocument/2006/relationships/hyperlink" Target="https://luma.com/722qtn04" TargetMode="External"/><Relationship Id="rId34" Type="http://schemas.openxmlformats.org/officeDocument/2006/relationships/hyperlink" Target="https://ojijohrlaw.com/Gallery.html" TargetMode="External"/><Relationship Id="rId15" Type="http://schemas.openxmlformats.org/officeDocument/2006/relationships/hyperlink" Target="https://ojijosenaji.com/" TargetMode="External"/><Relationship Id="rId14" Type="http://schemas.openxmlformats.org/officeDocument/2006/relationships/hyperlink" Target="https://ojijohrlaw.com/contact.html" TargetMode="External"/><Relationship Id="rId17" Type="http://schemas.openxmlformats.org/officeDocument/2006/relationships/hyperlink" Target="https://luma.com/7win5gi3" TargetMode="External"/><Relationship Id="rId16" Type="http://schemas.openxmlformats.org/officeDocument/2006/relationships/hyperlink" Target="https://luma.com/lhi93y9l" TargetMode="External"/><Relationship Id="rId19" Type="http://schemas.openxmlformats.org/officeDocument/2006/relationships/hyperlink" Target="https://fortyunder40africa.com/award-winners/" TargetMode="External"/><Relationship Id="rId18" Type="http://schemas.openxmlformats.org/officeDocument/2006/relationships/hyperlink" Target="https://static.nation.co.ke/pdfs/Top_Notch_Law_Firms-2702202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