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5FE91D" w14:textId="77777777" w:rsidR="00610077" w:rsidRPr="000F704B" w:rsidRDefault="00000000" w:rsidP="000F704B">
      <w:pPr>
        <w:spacing w:after="95" w:line="259" w:lineRule="auto"/>
        <w:jc w:val="left"/>
        <w:rPr>
          <w:b/>
          <w:sz w:val="40"/>
          <w:szCs w:val="40"/>
        </w:rPr>
      </w:pPr>
      <w:r w:rsidRPr="000F704B">
        <w:rPr>
          <w:b/>
          <w:sz w:val="40"/>
          <w:szCs w:val="40"/>
        </w:rPr>
        <w:t xml:space="preserve">Investment Portfolio Analysis Report </w:t>
      </w:r>
    </w:p>
    <w:p w14:paraId="69CC0917" w14:textId="77777777" w:rsidR="000F704B" w:rsidRDefault="000F704B">
      <w:pPr>
        <w:spacing w:after="95" w:line="259" w:lineRule="auto"/>
        <w:ind w:left="1936" w:firstLine="0"/>
        <w:jc w:val="left"/>
      </w:pPr>
    </w:p>
    <w:p w14:paraId="007ED0EF" w14:textId="3D57915D" w:rsidR="00610077" w:rsidRDefault="00000000">
      <w:pPr>
        <w:spacing w:after="190" w:line="259" w:lineRule="auto"/>
        <w:ind w:left="0" w:right="8" w:firstLine="0"/>
        <w:jc w:val="center"/>
      </w:pPr>
      <w:r>
        <w:rPr>
          <w:b/>
          <w:sz w:val="24"/>
        </w:rPr>
        <w:t xml:space="preserve">Group </w:t>
      </w:r>
      <w:proofErr w:type="gramStart"/>
      <w:r>
        <w:rPr>
          <w:b/>
          <w:sz w:val="24"/>
        </w:rPr>
        <w:t xml:space="preserve">4 </w:t>
      </w:r>
      <w:r w:rsidR="000F704B">
        <w:rPr>
          <w:b/>
          <w:sz w:val="24"/>
        </w:rPr>
        <w:t>:</w:t>
      </w:r>
      <w:proofErr w:type="gramEnd"/>
      <w:r w:rsidR="000F704B">
        <w:rPr>
          <w:b/>
          <w:sz w:val="24"/>
        </w:rPr>
        <w:t xml:space="preserve"> </w:t>
      </w:r>
      <w:proofErr w:type="spellStart"/>
      <w:r>
        <w:rPr>
          <w:b/>
          <w:sz w:val="24"/>
        </w:rPr>
        <w:t>Zifeng</w:t>
      </w:r>
      <w:proofErr w:type="spellEnd"/>
      <w:r>
        <w:rPr>
          <w:b/>
          <w:sz w:val="24"/>
        </w:rPr>
        <w:t xml:space="preserve"> Cheng,  </w:t>
      </w:r>
      <w:proofErr w:type="spellStart"/>
      <w:r>
        <w:rPr>
          <w:b/>
          <w:sz w:val="24"/>
        </w:rPr>
        <w:t>Zhicheng</w:t>
      </w:r>
      <w:proofErr w:type="spellEnd"/>
      <w:r>
        <w:rPr>
          <w:b/>
          <w:sz w:val="24"/>
        </w:rPr>
        <w:t xml:space="preserve"> Fu, Rishav Jhaveri, Debasish Choudhury </w:t>
      </w:r>
    </w:p>
    <w:p w14:paraId="1C221AAC" w14:textId="77777777" w:rsidR="00610077" w:rsidRDefault="00000000">
      <w:pPr>
        <w:spacing w:after="107" w:line="259" w:lineRule="auto"/>
        <w:ind w:left="707" w:firstLine="0"/>
        <w:jc w:val="center"/>
      </w:pPr>
      <w:r>
        <w:rPr>
          <w:b/>
          <w:sz w:val="32"/>
        </w:rPr>
        <w:t xml:space="preserve"> </w:t>
      </w:r>
    </w:p>
    <w:p w14:paraId="6365F4A7" w14:textId="77777777" w:rsidR="00610077" w:rsidRDefault="00000000">
      <w:pPr>
        <w:pStyle w:val="Heading1"/>
        <w:ind w:left="360" w:hanging="360"/>
      </w:pPr>
      <w:r>
        <w:t>Introduction</w:t>
      </w:r>
      <w:r>
        <w:rPr>
          <w:u w:val="none"/>
        </w:rPr>
        <w:t xml:space="preserve"> </w:t>
      </w:r>
    </w:p>
    <w:p w14:paraId="59678A8A" w14:textId="77777777" w:rsidR="00610077" w:rsidRDefault="00000000">
      <w:pPr>
        <w:spacing w:after="31" w:line="304" w:lineRule="auto"/>
        <w:ind w:left="355"/>
        <w:jc w:val="left"/>
      </w:pPr>
      <w:r>
        <w:t xml:space="preserve">An investment portfolio typically consists of a variety of assets, with the goal of achieving the optimal balance between risk and return. Depending on the investor's risk tolerance, the portfolio may contain high-risk, high-return stocks, or low-risk, low-return assets. The analysis will compare the performance of these stocks to the market index </w:t>
      </w:r>
    </w:p>
    <w:p w14:paraId="743AA673" w14:textId="77777777" w:rsidR="00610077" w:rsidRDefault="00000000">
      <w:pPr>
        <w:spacing w:after="29"/>
        <w:ind w:left="415"/>
      </w:pPr>
      <w:r>
        <w:t xml:space="preserve">QQQ and assess the overall effectiveness of the portfolio.  </w:t>
      </w:r>
    </w:p>
    <w:p w14:paraId="09106D36" w14:textId="77777777" w:rsidR="00610077" w:rsidRDefault="00000000">
      <w:pPr>
        <w:spacing w:after="82" w:line="259" w:lineRule="auto"/>
        <w:ind w:left="360" w:firstLine="0"/>
        <w:jc w:val="left"/>
      </w:pPr>
      <w:r>
        <w:t xml:space="preserve"> </w:t>
      </w:r>
    </w:p>
    <w:p w14:paraId="563A6597" w14:textId="77777777" w:rsidR="00610077" w:rsidRDefault="00000000">
      <w:pPr>
        <w:spacing w:after="74"/>
        <w:ind w:left="415"/>
      </w:pPr>
      <w:r>
        <w:t xml:space="preserve">The primary goals of this analysis are: </w:t>
      </w:r>
    </w:p>
    <w:p w14:paraId="19583BCF" w14:textId="77777777" w:rsidR="00610077" w:rsidRDefault="00000000">
      <w:pPr>
        <w:numPr>
          <w:ilvl w:val="0"/>
          <w:numId w:val="1"/>
        </w:numPr>
        <w:spacing w:after="0" w:line="337" w:lineRule="auto"/>
        <w:ind w:hanging="360"/>
      </w:pPr>
      <w:r>
        <w:t xml:space="preserve">Evaluate Portfolio Performance: By calculating the annualized returns and volatility of the portfolio, we will assess its overall performance. </w:t>
      </w:r>
    </w:p>
    <w:p w14:paraId="68FB2187" w14:textId="77777777" w:rsidR="00610077" w:rsidRDefault="00000000">
      <w:pPr>
        <w:numPr>
          <w:ilvl w:val="0"/>
          <w:numId w:val="1"/>
        </w:numPr>
        <w:spacing w:after="7" w:line="333" w:lineRule="auto"/>
        <w:ind w:hanging="360"/>
      </w:pPr>
      <w:r>
        <w:t xml:space="preserve">Compare with Market Index (QQQ): We will compare the portfolio's performance to a market benchmark (QQQ) to determine if the portfolio outperforms the market. </w:t>
      </w:r>
    </w:p>
    <w:p w14:paraId="05423421" w14:textId="77777777" w:rsidR="00610077" w:rsidRDefault="00000000">
      <w:pPr>
        <w:numPr>
          <w:ilvl w:val="0"/>
          <w:numId w:val="1"/>
        </w:numPr>
        <w:spacing w:after="7" w:line="332" w:lineRule="auto"/>
        <w:ind w:hanging="360"/>
      </w:pPr>
      <w:proofErr w:type="spellStart"/>
      <w:r>
        <w:t>Analyze</w:t>
      </w:r>
      <w:proofErr w:type="spellEnd"/>
      <w:r>
        <w:t xml:space="preserve"> the Risk-Return Trade-off: We will examine how the portfolio balances risk and return, considering the investor’s risk tolerance. </w:t>
      </w:r>
    </w:p>
    <w:p w14:paraId="57D681AC" w14:textId="77777777" w:rsidR="00610077" w:rsidRDefault="00000000">
      <w:pPr>
        <w:numPr>
          <w:ilvl w:val="0"/>
          <w:numId w:val="1"/>
        </w:numPr>
        <w:spacing w:after="0" w:line="333" w:lineRule="auto"/>
        <w:ind w:hanging="360"/>
      </w:pPr>
      <w:r>
        <w:t xml:space="preserve">Risk-Adjusted Return: By using metrics like the Sharpe ratio and alpha, we will evaluate whether the portfolio offers good risk-adjusted returns. </w:t>
      </w:r>
    </w:p>
    <w:p w14:paraId="5B39795A" w14:textId="77777777" w:rsidR="00610077" w:rsidRDefault="00000000">
      <w:pPr>
        <w:spacing w:after="82" w:line="259" w:lineRule="auto"/>
        <w:ind w:left="800" w:firstLine="0"/>
        <w:jc w:val="left"/>
      </w:pPr>
      <w:r>
        <w:t xml:space="preserve"> </w:t>
      </w:r>
    </w:p>
    <w:p w14:paraId="46F151AE" w14:textId="77777777" w:rsidR="00610077" w:rsidRDefault="00000000">
      <w:pPr>
        <w:spacing w:after="29"/>
        <w:ind w:left="10"/>
      </w:pPr>
      <w:r>
        <w:t xml:space="preserve">   Data Sources </w:t>
      </w:r>
    </w:p>
    <w:p w14:paraId="32D74DD6" w14:textId="77777777" w:rsidR="00610077" w:rsidRDefault="00000000">
      <w:pPr>
        <w:spacing w:after="5" w:line="304" w:lineRule="auto"/>
        <w:ind w:left="355"/>
        <w:jc w:val="left"/>
      </w:pPr>
      <w:r>
        <w:t xml:space="preserve">The data used in this analysis is primarily sourced from stock performance data covering the period from September 13, 2024, to December 1, 2024. The dataset includes daily stock prices for the portfolio and QQQ, which will be used to calculate daily returns. These daily returns will then be annualized to determine the portfolio’s annualized returns and volatility. </w:t>
      </w:r>
    </w:p>
    <w:p w14:paraId="08D1EB7A" w14:textId="77777777" w:rsidR="00610077" w:rsidRDefault="00000000">
      <w:pPr>
        <w:spacing w:after="119" w:line="259" w:lineRule="auto"/>
        <w:ind w:left="360" w:firstLine="0"/>
        <w:jc w:val="left"/>
      </w:pPr>
      <w:r>
        <w:t xml:space="preserve"> </w:t>
      </w:r>
    </w:p>
    <w:p w14:paraId="78436DE6" w14:textId="77777777" w:rsidR="00610077" w:rsidRDefault="00000000">
      <w:pPr>
        <w:pStyle w:val="Heading1"/>
        <w:ind w:left="625" w:hanging="280"/>
      </w:pPr>
      <w:r>
        <w:t>Portfolio Performance Analysis</w:t>
      </w:r>
      <w:r>
        <w:rPr>
          <w:u w:val="none"/>
        </w:rPr>
        <w:t xml:space="preserve"> </w:t>
      </w:r>
    </w:p>
    <w:p w14:paraId="4DDC14CD" w14:textId="77777777" w:rsidR="00610077" w:rsidRDefault="00000000">
      <w:pPr>
        <w:spacing w:after="78" w:line="259" w:lineRule="auto"/>
        <w:jc w:val="left"/>
      </w:pPr>
      <w:r>
        <w:rPr>
          <w:b/>
        </w:rPr>
        <w:t xml:space="preserve">Annualized Return and Volatility of Each Stock </w:t>
      </w:r>
    </w:p>
    <w:p w14:paraId="0F16ED3E" w14:textId="77777777" w:rsidR="00610077" w:rsidRDefault="00000000">
      <w:pPr>
        <w:spacing w:after="75"/>
        <w:ind w:left="415"/>
      </w:pPr>
      <w:r>
        <w:t xml:space="preserve">When evaluating portfolio performance, two key metrics are used:  </w:t>
      </w:r>
    </w:p>
    <w:p w14:paraId="7D982528" w14:textId="77777777" w:rsidR="00610077" w:rsidRDefault="00000000">
      <w:pPr>
        <w:numPr>
          <w:ilvl w:val="0"/>
          <w:numId w:val="2"/>
        </w:numPr>
        <w:spacing w:after="70"/>
        <w:ind w:hanging="360"/>
      </w:pPr>
      <w:r>
        <w:t xml:space="preserve">annualized return,  </w:t>
      </w:r>
    </w:p>
    <w:p w14:paraId="50D6743B" w14:textId="77777777" w:rsidR="00610077" w:rsidRDefault="00000000">
      <w:pPr>
        <w:numPr>
          <w:ilvl w:val="0"/>
          <w:numId w:val="2"/>
        </w:numPr>
        <w:spacing w:after="29"/>
        <w:ind w:hanging="360"/>
      </w:pPr>
      <w:r>
        <w:t xml:space="preserve">annualized volatility. </w:t>
      </w:r>
    </w:p>
    <w:p w14:paraId="4E35C949" w14:textId="77777777" w:rsidR="00610077" w:rsidRDefault="00000000">
      <w:pPr>
        <w:spacing w:after="47" w:line="259" w:lineRule="auto"/>
        <w:ind w:left="360" w:firstLine="0"/>
        <w:jc w:val="left"/>
      </w:pPr>
      <w:r>
        <w:rPr>
          <w:sz w:val="21"/>
        </w:rPr>
        <w:t xml:space="preserve"> </w:t>
      </w:r>
    </w:p>
    <w:p w14:paraId="0077C4CC" w14:textId="77777777" w:rsidR="00610077" w:rsidRDefault="00000000">
      <w:pPr>
        <w:spacing w:after="3" w:line="329" w:lineRule="auto"/>
        <w:ind w:left="355"/>
        <w:jc w:val="left"/>
      </w:pPr>
      <w:r>
        <w:rPr>
          <w:sz w:val="21"/>
        </w:rPr>
        <w:t xml:space="preserve">Annualized Return refers to the average return of an investment over a specified period, adjusted to reflect a full year. This metric helps investors understand how much the stock or portfolio has earned over a year. </w:t>
      </w:r>
    </w:p>
    <w:p w14:paraId="0DC58055" w14:textId="77777777" w:rsidR="00610077" w:rsidRDefault="00000000">
      <w:pPr>
        <w:spacing w:after="52" w:line="259" w:lineRule="auto"/>
        <w:ind w:left="360" w:firstLine="0"/>
        <w:jc w:val="left"/>
      </w:pPr>
      <w:r>
        <w:rPr>
          <w:sz w:val="21"/>
        </w:rPr>
        <w:t xml:space="preserve"> </w:t>
      </w:r>
    </w:p>
    <w:p w14:paraId="6CD8F586" w14:textId="77777777" w:rsidR="00610077" w:rsidRDefault="00000000">
      <w:pPr>
        <w:spacing w:after="3" w:line="346" w:lineRule="auto"/>
        <w:ind w:left="355"/>
        <w:jc w:val="left"/>
      </w:pPr>
      <w:r>
        <w:rPr>
          <w:sz w:val="21"/>
        </w:rPr>
        <w:lastRenderedPageBreak/>
        <w:t xml:space="preserve">Annualized Volatility measures the degree of variation in the stock's price. Higher volatility indicates higher risk, as the stock price fluctuates more. </w:t>
      </w:r>
    </w:p>
    <w:p w14:paraId="5A50074F" w14:textId="77777777" w:rsidR="00610077" w:rsidRDefault="00000000">
      <w:pPr>
        <w:spacing w:after="53" w:line="259" w:lineRule="auto"/>
        <w:ind w:left="10"/>
        <w:jc w:val="left"/>
      </w:pPr>
      <w:r>
        <w:rPr>
          <w:sz w:val="21"/>
        </w:rPr>
        <w:t xml:space="preserve">    From September 13, 2024, to December 1, 2024: </w:t>
      </w:r>
    </w:p>
    <w:p w14:paraId="4B353A0A" w14:textId="77777777" w:rsidR="00610077" w:rsidRDefault="00000000">
      <w:pPr>
        <w:spacing w:after="88" w:line="259" w:lineRule="auto"/>
        <w:ind w:left="360" w:firstLine="0"/>
        <w:jc w:val="left"/>
      </w:pPr>
      <w:r>
        <w:rPr>
          <w:sz w:val="21"/>
        </w:rPr>
        <w:t xml:space="preserve"> </w:t>
      </w:r>
    </w:p>
    <w:p w14:paraId="54007164" w14:textId="77777777" w:rsidR="00610077" w:rsidRDefault="00000000">
      <w:pPr>
        <w:spacing w:after="3" w:line="259" w:lineRule="auto"/>
        <w:ind w:left="355"/>
        <w:jc w:val="left"/>
      </w:pPr>
      <w:r>
        <w:rPr>
          <w:sz w:val="21"/>
        </w:rPr>
        <w:t xml:space="preserve">From September 13, 2024, to December 1, 2024: </w:t>
      </w:r>
    </w:p>
    <w:p w14:paraId="300AE86A" w14:textId="77777777" w:rsidR="00610077" w:rsidRDefault="00000000">
      <w:pPr>
        <w:spacing w:after="89" w:line="259" w:lineRule="auto"/>
        <w:ind w:left="360" w:firstLine="0"/>
        <w:jc w:val="left"/>
      </w:pPr>
      <w:r>
        <w:rPr>
          <w:sz w:val="21"/>
        </w:rPr>
        <w:t xml:space="preserve"> </w:t>
      </w:r>
    </w:p>
    <w:p w14:paraId="2D82F13E" w14:textId="77777777" w:rsidR="00610077" w:rsidRDefault="00000000">
      <w:pPr>
        <w:spacing w:after="52" w:line="259" w:lineRule="auto"/>
        <w:ind w:left="355"/>
        <w:jc w:val="left"/>
      </w:pPr>
      <w:r>
        <w:rPr>
          <w:sz w:val="21"/>
        </w:rPr>
        <w:t xml:space="preserve">Portfolio Annualized Return: </w:t>
      </w:r>
      <w:r>
        <w:rPr>
          <w:b/>
          <w:sz w:val="21"/>
        </w:rPr>
        <w:t>6.50%</w:t>
      </w:r>
      <w:r>
        <w:rPr>
          <w:sz w:val="21"/>
        </w:rPr>
        <w:t xml:space="preserve"> </w:t>
      </w:r>
    </w:p>
    <w:p w14:paraId="136D9CFC" w14:textId="77777777" w:rsidR="00610077" w:rsidRDefault="00000000">
      <w:pPr>
        <w:spacing w:after="89" w:line="259" w:lineRule="auto"/>
        <w:ind w:left="360" w:firstLine="0"/>
        <w:jc w:val="left"/>
      </w:pPr>
      <w:r>
        <w:rPr>
          <w:sz w:val="21"/>
        </w:rPr>
        <w:t xml:space="preserve"> </w:t>
      </w:r>
    </w:p>
    <w:p w14:paraId="6F2C31A2" w14:textId="77777777" w:rsidR="00610077" w:rsidRDefault="00000000">
      <w:pPr>
        <w:spacing w:after="314" w:line="259" w:lineRule="auto"/>
        <w:ind w:left="355"/>
        <w:jc w:val="left"/>
      </w:pPr>
      <w:r>
        <w:rPr>
          <w:sz w:val="21"/>
        </w:rPr>
        <w:t xml:space="preserve">Portfolio Annualized Volatility: </w:t>
      </w:r>
      <w:r>
        <w:rPr>
          <w:b/>
          <w:sz w:val="21"/>
        </w:rPr>
        <w:t>10.92%</w:t>
      </w:r>
      <w:r>
        <w:rPr>
          <w:sz w:val="21"/>
        </w:rPr>
        <w:t xml:space="preserve"> </w:t>
      </w:r>
    </w:p>
    <w:p w14:paraId="0D78F5A3" w14:textId="77777777" w:rsidR="00610077" w:rsidRDefault="00000000">
      <w:pPr>
        <w:spacing w:after="228" w:line="259" w:lineRule="auto"/>
        <w:ind w:left="355"/>
        <w:jc w:val="left"/>
      </w:pPr>
      <w:r>
        <w:rPr>
          <w:sz w:val="21"/>
        </w:rPr>
        <w:t xml:space="preserve">Daily Average Return </w:t>
      </w:r>
      <w:r>
        <w:rPr>
          <w:rFonts w:ascii="SimSun" w:eastAsia="SimSun" w:hAnsi="SimSun" w:cs="SimSun"/>
          <w:sz w:val="21"/>
        </w:rPr>
        <w:t>：</w:t>
      </w:r>
      <w:r>
        <w:rPr>
          <w:rFonts w:ascii="Cambria Math" w:eastAsia="Cambria Math" w:hAnsi="Cambria Math" w:cs="Cambria Math"/>
          <w:sz w:val="21"/>
        </w:rPr>
        <w:t xml:space="preserve">𝑅𝑑𝑎𝑖𝑙𝑦 = (1 + </w:t>
      </w:r>
      <w:proofErr w:type="gramStart"/>
      <w:r>
        <w:rPr>
          <w:rFonts w:ascii="Cambria Math" w:eastAsia="Cambria Math" w:hAnsi="Cambria Math" w:cs="Cambria Math"/>
          <w:sz w:val="21"/>
        </w:rPr>
        <w:t>𝑅𝑡𝑜𝑡𝑎𝑙)</w:t>
      </w:r>
      <w:r>
        <w:rPr>
          <w:rFonts w:ascii="Cambria Math" w:eastAsia="Cambria Math" w:hAnsi="Cambria Math" w:cs="Cambria Math"/>
          <w:sz w:val="21"/>
          <w:vertAlign w:val="superscript"/>
        </w:rPr>
        <w:t>(</w:t>
      </w:r>
      <w:proofErr w:type="gramEnd"/>
      <w:r>
        <w:fldChar w:fldCharType="begin"/>
      </w:r>
      <w:r>
        <w:instrText>EQ \* jc2 \* "Font:Cambria Math" \* hps12 \o\ad(\s\up 10(</w:instrText>
      </w:r>
      <w:r>
        <w:rPr>
          <w:rFonts w:ascii="Cambria Math" w:eastAsia="Cambria Math" w:hAnsi="Cambria Math" w:cs="Cambria Math"/>
          <w:sz w:val="12"/>
        </w:rPr>
        <w:instrText>1</w:instrText>
      </w:r>
      <w:r>
        <w:instrText>),</w:instrText>
      </w:r>
      <w:r>
        <w:rPr>
          <w:rFonts w:ascii="Cambria Math" w:eastAsia="Cambria Math" w:hAnsi="Cambria Math" w:cs="Cambria Math"/>
          <w:sz w:val="12"/>
        </w:rPr>
        <w:instrText>𝑡</w:instrText>
      </w:r>
      <w:r>
        <w:instrText>)</w:instrText>
      </w:r>
      <w:r>
        <w:fldChar w:fldCharType="end"/>
      </w:r>
      <w:r>
        <w:rPr>
          <w:rFonts w:ascii="Cambria Math" w:eastAsia="Cambria Math" w:hAnsi="Cambria Math" w:cs="Cambria Math"/>
          <w:sz w:val="21"/>
          <w:vertAlign w:val="superscript"/>
        </w:rPr>
        <w:t xml:space="preserve">) </w:t>
      </w:r>
      <w:r>
        <w:rPr>
          <w:rFonts w:ascii="Cambria Math" w:eastAsia="Cambria Math" w:hAnsi="Cambria Math" w:cs="Cambria Math"/>
          <w:sz w:val="21"/>
        </w:rPr>
        <w:t>− 1</w:t>
      </w:r>
      <w:r>
        <w:rPr>
          <w:sz w:val="21"/>
        </w:rPr>
        <w:t xml:space="preserve"> </w:t>
      </w:r>
    </w:p>
    <w:p w14:paraId="74742356" w14:textId="77777777" w:rsidR="00610077" w:rsidRDefault="00000000">
      <w:pPr>
        <w:spacing w:after="126" w:line="259" w:lineRule="auto"/>
        <w:ind w:left="419"/>
        <w:jc w:val="center"/>
      </w:pPr>
      <w:r>
        <w:rPr>
          <w:rFonts w:ascii="Cambria Math" w:eastAsia="Cambria Math" w:hAnsi="Cambria Math" w:cs="Cambria Math"/>
          <w:sz w:val="21"/>
        </w:rPr>
        <w:t xml:space="preserve">𝑅𝑑𝑎𝑖𝑙𝑦 </w:t>
      </w:r>
      <w:r>
        <w:rPr>
          <w:noProof/>
        </w:rPr>
        <w:drawing>
          <wp:inline distT="0" distB="0" distL="0" distR="0" wp14:anchorId="1C073DF6" wp14:editId="5CE0D20B">
            <wp:extent cx="1947672" cy="213360"/>
            <wp:effectExtent l="0" t="0" r="0" b="0"/>
            <wp:docPr id="9151" name="Picture 9151"/>
            <wp:cNvGraphicFramePr/>
            <a:graphic xmlns:a="http://schemas.openxmlformats.org/drawingml/2006/main">
              <a:graphicData uri="http://schemas.openxmlformats.org/drawingml/2006/picture">
                <pic:pic xmlns:pic="http://schemas.openxmlformats.org/drawingml/2006/picture">
                  <pic:nvPicPr>
                    <pic:cNvPr id="9151" name="Picture 9151"/>
                    <pic:cNvPicPr/>
                  </pic:nvPicPr>
                  <pic:blipFill>
                    <a:blip r:embed="rId5"/>
                    <a:stretch>
                      <a:fillRect/>
                    </a:stretch>
                  </pic:blipFill>
                  <pic:spPr>
                    <a:xfrm>
                      <a:off x="0" y="0"/>
                      <a:ext cx="1947672" cy="213360"/>
                    </a:xfrm>
                    <a:prstGeom prst="rect">
                      <a:avLst/>
                    </a:prstGeom>
                  </pic:spPr>
                </pic:pic>
              </a:graphicData>
            </a:graphic>
          </wp:inline>
        </w:drawing>
      </w:r>
      <w:r>
        <w:rPr>
          <w:rFonts w:ascii="Calibri" w:eastAsia="Calibri" w:hAnsi="Calibri" w:cs="Calibri"/>
          <w:sz w:val="21"/>
        </w:rPr>
        <w:t xml:space="preserve"> </w:t>
      </w:r>
    </w:p>
    <w:p w14:paraId="267C9221" w14:textId="77777777" w:rsidR="00610077" w:rsidRDefault="00000000">
      <w:pPr>
        <w:spacing w:after="0" w:line="259" w:lineRule="auto"/>
        <w:ind w:left="419" w:right="3"/>
        <w:jc w:val="center"/>
      </w:pPr>
      <w:r>
        <w:rPr>
          <w:rFonts w:ascii="Cambria Math" w:eastAsia="Cambria Math" w:hAnsi="Cambria Math" w:cs="Cambria Math"/>
          <w:sz w:val="21"/>
        </w:rPr>
        <w:t>𝜎𝑎𝑛𝑛𝑢𝑎𝑙𝑖𝑧𝑒𝑑 = 𝜎𝑑𝑎𝑖𝑙𝑦 ×</w:t>
      </w:r>
      <w:r>
        <w:rPr>
          <w:noProof/>
        </w:rPr>
        <w:drawing>
          <wp:inline distT="0" distB="0" distL="0" distR="0" wp14:anchorId="37E6DB5F" wp14:editId="2E7A8A27">
            <wp:extent cx="301752" cy="137160"/>
            <wp:effectExtent l="0" t="0" r="0" b="0"/>
            <wp:docPr id="9152" name="Picture 9152"/>
            <wp:cNvGraphicFramePr/>
            <a:graphic xmlns:a="http://schemas.openxmlformats.org/drawingml/2006/main">
              <a:graphicData uri="http://schemas.openxmlformats.org/drawingml/2006/picture">
                <pic:pic xmlns:pic="http://schemas.openxmlformats.org/drawingml/2006/picture">
                  <pic:nvPicPr>
                    <pic:cNvPr id="9152" name="Picture 9152"/>
                    <pic:cNvPicPr/>
                  </pic:nvPicPr>
                  <pic:blipFill>
                    <a:blip r:embed="rId6"/>
                    <a:stretch>
                      <a:fillRect/>
                    </a:stretch>
                  </pic:blipFill>
                  <pic:spPr>
                    <a:xfrm>
                      <a:off x="0" y="0"/>
                      <a:ext cx="301752" cy="137160"/>
                    </a:xfrm>
                    <a:prstGeom prst="rect">
                      <a:avLst/>
                    </a:prstGeom>
                  </pic:spPr>
                </pic:pic>
              </a:graphicData>
            </a:graphic>
          </wp:inline>
        </w:drawing>
      </w:r>
      <w:r>
        <w:t xml:space="preserve"> </w:t>
      </w:r>
    </w:p>
    <w:p w14:paraId="13FEC772" w14:textId="77777777" w:rsidR="00610077" w:rsidRDefault="00000000">
      <w:pPr>
        <w:spacing w:after="82" w:line="259" w:lineRule="auto"/>
        <w:ind w:left="419"/>
        <w:jc w:val="center"/>
      </w:pPr>
      <w:r>
        <w:rPr>
          <w:rFonts w:ascii="Cambria Math" w:eastAsia="Cambria Math" w:hAnsi="Cambria Math" w:cs="Cambria Math"/>
          <w:sz w:val="21"/>
        </w:rPr>
        <w:t xml:space="preserve">𝜎𝑎𝑛𝑛𝑢𝑎𝑙𝑖𝑧𝑒𝑑 </w:t>
      </w:r>
      <w:r>
        <w:rPr>
          <w:noProof/>
        </w:rPr>
        <w:drawing>
          <wp:inline distT="0" distB="0" distL="0" distR="0" wp14:anchorId="2E12CE50" wp14:editId="2281AC3B">
            <wp:extent cx="1700784" cy="137160"/>
            <wp:effectExtent l="0" t="0" r="0" b="0"/>
            <wp:docPr id="9153" name="Picture 9153"/>
            <wp:cNvGraphicFramePr/>
            <a:graphic xmlns:a="http://schemas.openxmlformats.org/drawingml/2006/main">
              <a:graphicData uri="http://schemas.openxmlformats.org/drawingml/2006/picture">
                <pic:pic xmlns:pic="http://schemas.openxmlformats.org/drawingml/2006/picture">
                  <pic:nvPicPr>
                    <pic:cNvPr id="9153" name="Picture 9153"/>
                    <pic:cNvPicPr/>
                  </pic:nvPicPr>
                  <pic:blipFill>
                    <a:blip r:embed="rId7"/>
                    <a:stretch>
                      <a:fillRect/>
                    </a:stretch>
                  </pic:blipFill>
                  <pic:spPr>
                    <a:xfrm>
                      <a:off x="0" y="0"/>
                      <a:ext cx="1700784" cy="137160"/>
                    </a:xfrm>
                    <a:prstGeom prst="rect">
                      <a:avLst/>
                    </a:prstGeom>
                  </pic:spPr>
                </pic:pic>
              </a:graphicData>
            </a:graphic>
          </wp:inline>
        </w:drawing>
      </w:r>
      <w:r>
        <w:rPr>
          <w:rFonts w:ascii="Calibri" w:eastAsia="Calibri" w:hAnsi="Calibri" w:cs="Calibri"/>
          <w:sz w:val="21"/>
        </w:rPr>
        <w:t xml:space="preserve"> </w:t>
      </w:r>
    </w:p>
    <w:p w14:paraId="30361085" w14:textId="77777777" w:rsidR="00610077" w:rsidRDefault="00000000">
      <w:pPr>
        <w:spacing w:after="126" w:line="259" w:lineRule="auto"/>
        <w:ind w:left="419" w:right="5"/>
        <w:jc w:val="center"/>
      </w:pPr>
      <w:r>
        <w:rPr>
          <w:rFonts w:ascii="Cambria Math" w:eastAsia="Cambria Math" w:hAnsi="Cambria Math" w:cs="Cambria Math"/>
          <w:sz w:val="21"/>
        </w:rPr>
        <w:t>𝑅𝑔𝑒𝑜𝑚𝑒𝑡𝑟𝑖𝑐 = (1 + 𝑅𝑡𝑜𝑡𝑎𝑙)</w:t>
      </w:r>
      <w:r>
        <w:rPr>
          <w:noProof/>
        </w:rPr>
        <w:drawing>
          <wp:inline distT="0" distB="0" distL="0" distR="0" wp14:anchorId="63B90CC0" wp14:editId="4D2B203A">
            <wp:extent cx="445008" cy="210312"/>
            <wp:effectExtent l="0" t="0" r="0" b="0"/>
            <wp:docPr id="9154" name="Picture 9154"/>
            <wp:cNvGraphicFramePr/>
            <a:graphic xmlns:a="http://schemas.openxmlformats.org/drawingml/2006/main">
              <a:graphicData uri="http://schemas.openxmlformats.org/drawingml/2006/picture">
                <pic:pic xmlns:pic="http://schemas.openxmlformats.org/drawingml/2006/picture">
                  <pic:nvPicPr>
                    <pic:cNvPr id="9154" name="Picture 9154"/>
                    <pic:cNvPicPr/>
                  </pic:nvPicPr>
                  <pic:blipFill>
                    <a:blip r:embed="rId8"/>
                    <a:stretch>
                      <a:fillRect/>
                    </a:stretch>
                  </pic:blipFill>
                  <pic:spPr>
                    <a:xfrm>
                      <a:off x="0" y="0"/>
                      <a:ext cx="445008" cy="210312"/>
                    </a:xfrm>
                    <a:prstGeom prst="rect">
                      <a:avLst/>
                    </a:prstGeom>
                  </pic:spPr>
                </pic:pic>
              </a:graphicData>
            </a:graphic>
          </wp:inline>
        </w:drawing>
      </w:r>
      <w:r>
        <w:rPr>
          <w:rFonts w:ascii="Calibri" w:eastAsia="Calibri" w:hAnsi="Calibri" w:cs="Calibri"/>
          <w:sz w:val="21"/>
        </w:rPr>
        <w:t xml:space="preserve"> </w:t>
      </w:r>
    </w:p>
    <w:p w14:paraId="25248952" w14:textId="77777777" w:rsidR="00610077" w:rsidRDefault="00000000">
      <w:pPr>
        <w:spacing w:after="102" w:line="259" w:lineRule="auto"/>
        <w:ind w:left="1274" w:firstLine="0"/>
        <w:jc w:val="center"/>
      </w:pPr>
      <w:r>
        <w:rPr>
          <w:rFonts w:ascii="Cambria Math" w:eastAsia="Cambria Math" w:hAnsi="Cambria Math" w:cs="Cambria Math"/>
          <w:sz w:val="15"/>
          <w:u w:val="single" w:color="000000"/>
        </w:rPr>
        <w:t>1</w:t>
      </w:r>
    </w:p>
    <w:p w14:paraId="05B4E1D0" w14:textId="77777777" w:rsidR="00610077" w:rsidRDefault="00000000">
      <w:pPr>
        <w:spacing w:after="188" w:line="259" w:lineRule="auto"/>
        <w:ind w:left="419" w:right="62"/>
        <w:jc w:val="center"/>
      </w:pPr>
      <w:r>
        <w:rPr>
          <w:rFonts w:ascii="Cambria Math" w:eastAsia="Cambria Math" w:hAnsi="Cambria Math" w:cs="Cambria Math"/>
          <w:sz w:val="21"/>
        </w:rPr>
        <w:t xml:space="preserve">𝑅𝑔𝑒𝑜𝑚𝑒𝑡𝑟𝑖𝑐 = (1 + </w:t>
      </w:r>
      <w:proofErr w:type="gramStart"/>
      <w:r>
        <w:rPr>
          <w:rFonts w:ascii="Cambria Math" w:eastAsia="Cambria Math" w:hAnsi="Cambria Math" w:cs="Cambria Math"/>
          <w:sz w:val="21"/>
        </w:rPr>
        <w:t>0.065)</w:t>
      </w:r>
      <w:r>
        <w:rPr>
          <w:rFonts w:ascii="Cambria Math" w:eastAsia="Cambria Math" w:hAnsi="Cambria Math" w:cs="Cambria Math"/>
          <w:sz w:val="21"/>
          <w:vertAlign w:val="superscript"/>
        </w:rPr>
        <w:t>(</w:t>
      </w:r>
      <w:proofErr w:type="gramEnd"/>
      <w:r>
        <w:rPr>
          <w:rFonts w:ascii="Cambria Math" w:eastAsia="Cambria Math" w:hAnsi="Cambria Math" w:cs="Cambria Math"/>
          <w:sz w:val="21"/>
          <w:vertAlign w:val="superscript"/>
        </w:rPr>
        <w:t xml:space="preserve">(80)) </w:t>
      </w:r>
      <w:r>
        <w:rPr>
          <w:rFonts w:ascii="Cambria Math" w:eastAsia="Cambria Math" w:hAnsi="Cambria Math" w:cs="Cambria Math"/>
          <w:sz w:val="21"/>
        </w:rPr>
        <w:t>− 1 = 0.000787</w:t>
      </w:r>
      <w:r>
        <w:rPr>
          <w:rFonts w:ascii="Calibri" w:eastAsia="Calibri" w:hAnsi="Calibri" w:cs="Calibri"/>
          <w:sz w:val="21"/>
        </w:rPr>
        <w:t xml:space="preserve"> </w:t>
      </w:r>
    </w:p>
    <w:p w14:paraId="0747A5EF" w14:textId="77777777" w:rsidR="00610077" w:rsidRDefault="00000000">
      <w:pPr>
        <w:spacing w:after="72"/>
        <w:ind w:left="415"/>
      </w:pPr>
      <w:r>
        <w:t xml:space="preserve">Daily Average Return:0.0787% </w:t>
      </w:r>
    </w:p>
    <w:p w14:paraId="62B56C3B" w14:textId="77777777" w:rsidR="00610077" w:rsidRDefault="00000000">
      <w:pPr>
        <w:spacing w:after="71"/>
        <w:ind w:left="415"/>
      </w:pPr>
      <w:r>
        <w:t xml:space="preserve">Annualized Volatility:1.25% </w:t>
      </w:r>
    </w:p>
    <w:p w14:paraId="65060C4A" w14:textId="77777777" w:rsidR="00610077" w:rsidRDefault="00000000">
      <w:pPr>
        <w:spacing w:after="0" w:line="337" w:lineRule="auto"/>
        <w:ind w:left="415" w:right="5399"/>
      </w:pPr>
      <w:r>
        <w:t xml:space="preserve">Final NAV: 1.065 Arithmetic Return:0.0787% </w:t>
      </w:r>
    </w:p>
    <w:p w14:paraId="34127290" w14:textId="77777777" w:rsidR="00610077" w:rsidRDefault="00000000">
      <w:pPr>
        <w:spacing w:after="34"/>
        <w:ind w:left="415"/>
      </w:pPr>
      <w:r>
        <w:t xml:space="preserve">Geometric Return:0.0787% </w:t>
      </w:r>
    </w:p>
    <w:p w14:paraId="42C1C592" w14:textId="77777777" w:rsidR="00610077" w:rsidRDefault="00000000">
      <w:pPr>
        <w:spacing w:after="84" w:line="259" w:lineRule="auto"/>
        <w:ind w:left="360" w:firstLine="0"/>
        <w:jc w:val="left"/>
      </w:pPr>
      <w:r>
        <w:t xml:space="preserve"> </w:t>
      </w:r>
    </w:p>
    <w:p w14:paraId="1EC541EA" w14:textId="77777777" w:rsidR="00610077" w:rsidRDefault="00000000">
      <w:pPr>
        <w:spacing w:after="36" w:line="259" w:lineRule="auto"/>
        <w:ind w:left="355"/>
        <w:jc w:val="left"/>
      </w:pPr>
      <w:r>
        <w:rPr>
          <w:sz w:val="21"/>
        </w:rPr>
        <w:t xml:space="preserve">Thus, the portfolio’s annualized volatility is </w:t>
      </w:r>
      <w:r>
        <w:t xml:space="preserve">0.0787%. </w:t>
      </w:r>
    </w:p>
    <w:p w14:paraId="107E799D" w14:textId="77777777" w:rsidR="00610077" w:rsidRDefault="00000000">
      <w:pPr>
        <w:spacing w:after="40" w:line="259" w:lineRule="auto"/>
        <w:ind w:left="360" w:firstLine="0"/>
        <w:jc w:val="left"/>
      </w:pPr>
      <w:r>
        <w:t xml:space="preserve"> </w:t>
      </w:r>
    </w:p>
    <w:p w14:paraId="5F0C3A13" w14:textId="77777777" w:rsidR="00610077" w:rsidRDefault="00000000">
      <w:pPr>
        <w:spacing w:after="35" w:line="259" w:lineRule="auto"/>
        <w:ind w:left="360" w:firstLine="0"/>
        <w:jc w:val="left"/>
      </w:pPr>
      <w:r>
        <w:t xml:space="preserve"> </w:t>
      </w:r>
    </w:p>
    <w:p w14:paraId="731CD406" w14:textId="77777777" w:rsidR="00610077" w:rsidRDefault="00000000">
      <w:pPr>
        <w:spacing w:after="0" w:line="336" w:lineRule="auto"/>
        <w:ind w:left="415"/>
      </w:pPr>
      <w:r>
        <w:t xml:space="preserve">The portfolio delivered a moderate annualized return of 6.50%, reflecting its conservative composition. </w:t>
      </w:r>
    </w:p>
    <w:p w14:paraId="33FEE450" w14:textId="77777777" w:rsidR="00610077" w:rsidRDefault="00000000">
      <w:pPr>
        <w:spacing w:after="81" w:line="259" w:lineRule="auto"/>
        <w:ind w:left="360" w:firstLine="0"/>
        <w:jc w:val="left"/>
      </w:pPr>
      <w:r>
        <w:t xml:space="preserve"> </w:t>
      </w:r>
    </w:p>
    <w:p w14:paraId="5489ADE6" w14:textId="77777777" w:rsidR="00610077" w:rsidRDefault="00000000">
      <w:pPr>
        <w:spacing w:after="40" w:line="259" w:lineRule="auto"/>
        <w:ind w:left="355"/>
        <w:jc w:val="left"/>
      </w:pPr>
      <w:r>
        <w:rPr>
          <w:b/>
          <w:i/>
        </w:rPr>
        <w:t>By comparison, the market benchmark QQQ recorded</w:t>
      </w:r>
      <w:r>
        <w:t xml:space="preserve">: </w:t>
      </w:r>
    </w:p>
    <w:p w14:paraId="40E12C6B" w14:textId="77777777" w:rsidR="00610077" w:rsidRDefault="00000000">
      <w:pPr>
        <w:spacing w:after="35" w:line="259" w:lineRule="auto"/>
        <w:ind w:left="360" w:firstLine="0"/>
        <w:jc w:val="left"/>
      </w:pPr>
      <w:r>
        <w:t xml:space="preserve"> </w:t>
      </w:r>
    </w:p>
    <w:p w14:paraId="1971D2E0" w14:textId="77777777" w:rsidR="00610077" w:rsidRDefault="00000000">
      <w:pPr>
        <w:spacing w:after="40" w:line="259" w:lineRule="auto"/>
        <w:ind w:left="360" w:firstLine="0"/>
        <w:jc w:val="left"/>
      </w:pPr>
      <w:r>
        <w:t xml:space="preserve"> </w:t>
      </w:r>
    </w:p>
    <w:p w14:paraId="3EB39239" w14:textId="77777777" w:rsidR="00610077" w:rsidRDefault="00000000">
      <w:pPr>
        <w:spacing w:after="5" w:line="304" w:lineRule="auto"/>
        <w:ind w:left="355"/>
        <w:jc w:val="left"/>
      </w:pPr>
      <w:r>
        <w:t xml:space="preserve">The portfolio has a lower annualized return than QQQ, but the volatility is significantly lower than QQQ, indicating that the portfolio is a safer investment and a more conservative choice, a more balanced choice for those who seek stable returns with moderate risk. </w:t>
      </w:r>
    </w:p>
    <w:p w14:paraId="09FD6D0D" w14:textId="77777777" w:rsidR="00610077" w:rsidRDefault="00000000">
      <w:pPr>
        <w:spacing w:after="40" w:line="259" w:lineRule="auto"/>
        <w:ind w:left="360" w:firstLine="0"/>
        <w:jc w:val="left"/>
      </w:pPr>
      <w:r>
        <w:t xml:space="preserve"> </w:t>
      </w:r>
    </w:p>
    <w:p w14:paraId="5A4D451E" w14:textId="77777777" w:rsidR="00610077" w:rsidRDefault="00000000">
      <w:pPr>
        <w:spacing w:after="5" w:line="304" w:lineRule="auto"/>
        <w:ind w:left="355"/>
        <w:jc w:val="left"/>
      </w:pPr>
      <w:r>
        <w:lastRenderedPageBreak/>
        <w:t xml:space="preserve">The low risk of the portfolio may attract more conservative investors because the relatively low risk indicates that this is a lower risk, more stable stock. QQQ may be more attractive to investors who are willing to accept higher risks for higher returns. </w:t>
      </w:r>
    </w:p>
    <w:p w14:paraId="61616EFB" w14:textId="77777777" w:rsidR="00610077" w:rsidRDefault="00000000">
      <w:pPr>
        <w:spacing w:after="113" w:line="259" w:lineRule="auto"/>
        <w:ind w:left="0" w:firstLine="0"/>
        <w:jc w:val="left"/>
      </w:pPr>
      <w:r>
        <w:t xml:space="preserve"> </w:t>
      </w:r>
    </w:p>
    <w:p w14:paraId="71EB8047" w14:textId="77777777" w:rsidR="00610077" w:rsidRDefault="00000000">
      <w:pPr>
        <w:pStyle w:val="Heading1"/>
        <w:ind w:left="625" w:hanging="280"/>
      </w:pPr>
      <w:r>
        <w:t xml:space="preserve">Risk-Return </w:t>
      </w:r>
      <w:proofErr w:type="spellStart"/>
      <w:r>
        <w:t>Tradeoff</w:t>
      </w:r>
      <w:proofErr w:type="spellEnd"/>
      <w:r>
        <w:rPr>
          <w:u w:val="none"/>
        </w:rPr>
        <w:t xml:space="preserve"> </w:t>
      </w:r>
    </w:p>
    <w:p w14:paraId="72A50F9D" w14:textId="77777777" w:rsidR="00610077" w:rsidRDefault="00000000">
      <w:pPr>
        <w:spacing w:after="2" w:line="332" w:lineRule="auto"/>
        <w:ind w:left="415"/>
      </w:pPr>
      <w:r>
        <w:t xml:space="preserve">The risk-return </w:t>
      </w:r>
      <w:proofErr w:type="spellStart"/>
      <w:r>
        <w:t>tradeoff</w:t>
      </w:r>
      <w:proofErr w:type="spellEnd"/>
      <w:r>
        <w:t xml:space="preserve"> of the portfolio was </w:t>
      </w:r>
      <w:proofErr w:type="spellStart"/>
      <w:r>
        <w:t>analyzed</w:t>
      </w:r>
      <w:proofErr w:type="spellEnd"/>
      <w:r>
        <w:t xml:space="preserve"> using the Sharpe ratio, a key measure of risk-adjusted return. </w:t>
      </w:r>
    </w:p>
    <w:p w14:paraId="4154E28F" w14:textId="77777777" w:rsidR="00610077" w:rsidRDefault="00000000">
      <w:pPr>
        <w:spacing w:after="42" w:line="259" w:lineRule="auto"/>
        <w:ind w:left="355"/>
        <w:jc w:val="left"/>
      </w:pPr>
      <w:r>
        <w:rPr>
          <w:sz w:val="21"/>
        </w:rPr>
        <w:t>Sharpe Ratio of the Portfolio</w:t>
      </w:r>
      <w:r>
        <w:t xml:space="preserve"> </w:t>
      </w:r>
    </w:p>
    <w:p w14:paraId="708470C5" w14:textId="77777777" w:rsidR="00610077" w:rsidRDefault="00000000">
      <w:pPr>
        <w:spacing w:after="44" w:line="313" w:lineRule="auto"/>
        <w:ind w:left="0" w:firstLine="420"/>
      </w:pPr>
      <w:r>
        <w:rPr>
          <w:sz w:val="21"/>
        </w:rPr>
        <w:t xml:space="preserve">The Sharpe ratio is a key measure for assessing the risk-adjusted return of an investment. </w:t>
      </w:r>
      <w:proofErr w:type="gramStart"/>
      <w:r>
        <w:rPr>
          <w:sz w:val="21"/>
        </w:rPr>
        <w:t xml:space="preserve">It </w:t>
      </w:r>
      <w:r>
        <w:rPr>
          <w:rFonts w:ascii="Calibri" w:eastAsia="Calibri" w:hAnsi="Calibri" w:cs="Calibri"/>
          <w:sz w:val="21"/>
        </w:rPr>
        <w:t xml:space="preserve"> </w:t>
      </w:r>
      <w:r>
        <w:rPr>
          <w:sz w:val="21"/>
        </w:rPr>
        <w:t>compares</w:t>
      </w:r>
      <w:proofErr w:type="gramEnd"/>
      <w:r>
        <w:rPr>
          <w:sz w:val="21"/>
        </w:rPr>
        <w:t xml:space="preserve"> the excess return of the portfolio over the risk-free rate to its volatility. A </w:t>
      </w:r>
      <w:proofErr w:type="gramStart"/>
      <w:r>
        <w:rPr>
          <w:sz w:val="21"/>
        </w:rPr>
        <w:t xml:space="preserve">higher </w:t>
      </w:r>
      <w:r>
        <w:rPr>
          <w:rFonts w:ascii="Calibri" w:eastAsia="Calibri" w:hAnsi="Calibri" w:cs="Calibri"/>
          <w:sz w:val="21"/>
        </w:rPr>
        <w:t xml:space="preserve"> </w:t>
      </w:r>
      <w:r>
        <w:rPr>
          <w:rFonts w:ascii="Calibri" w:eastAsia="Calibri" w:hAnsi="Calibri" w:cs="Calibri"/>
          <w:sz w:val="21"/>
        </w:rPr>
        <w:tab/>
      </w:r>
      <w:proofErr w:type="gramEnd"/>
      <w:r>
        <w:rPr>
          <w:sz w:val="21"/>
        </w:rPr>
        <w:t>Sharpe ratio indicates better risk-adjusted performance.</w:t>
      </w:r>
      <w:r>
        <w:rPr>
          <w:rFonts w:ascii="Calibri" w:eastAsia="Calibri" w:hAnsi="Calibri" w:cs="Calibri"/>
          <w:sz w:val="21"/>
        </w:rPr>
        <w:t xml:space="preserve"> </w:t>
      </w:r>
    </w:p>
    <w:p w14:paraId="23E73A31" w14:textId="77777777" w:rsidR="00610077" w:rsidRDefault="00000000">
      <w:pPr>
        <w:spacing w:after="85" w:line="259" w:lineRule="auto"/>
        <w:ind w:left="0" w:firstLine="0"/>
        <w:jc w:val="left"/>
      </w:pPr>
      <w:r>
        <w:t xml:space="preserve"> </w:t>
      </w:r>
    </w:p>
    <w:p w14:paraId="78B030C1" w14:textId="77777777" w:rsidR="00610077" w:rsidRDefault="00000000">
      <w:pPr>
        <w:spacing w:after="78" w:line="259" w:lineRule="auto"/>
        <w:ind w:left="355"/>
        <w:jc w:val="left"/>
      </w:pPr>
      <w:r>
        <w:rPr>
          <w:b/>
          <w:i/>
        </w:rPr>
        <w:t xml:space="preserve">Sharpe Ratio </w:t>
      </w:r>
    </w:p>
    <w:p w14:paraId="1A4B5CD8" w14:textId="77777777" w:rsidR="00610077" w:rsidRDefault="00000000">
      <w:pPr>
        <w:spacing w:after="77"/>
        <w:ind w:left="415"/>
      </w:pPr>
      <w:r>
        <w:t xml:space="preserve">The formula for the Sharpe ratio is: </w:t>
      </w:r>
    </w:p>
    <w:p w14:paraId="58358057" w14:textId="77777777" w:rsidR="00610077" w:rsidRDefault="00000000">
      <w:pPr>
        <w:spacing w:after="46"/>
        <w:ind w:left="415"/>
      </w:pPr>
      <w:r>
        <w:t xml:space="preserve">QQQ Sharpe Ratio Calculation Results: </w:t>
      </w:r>
    </w:p>
    <w:p w14:paraId="17897A73" w14:textId="77777777" w:rsidR="00610077" w:rsidRDefault="00000000">
      <w:pPr>
        <w:spacing w:after="46"/>
        <w:ind w:left="415"/>
      </w:pPr>
      <w:r>
        <w:t>Annualized Return: 41.09%.</w:t>
      </w:r>
      <w:r>
        <w:rPr>
          <w:rFonts w:ascii="Calibri" w:eastAsia="Calibri" w:hAnsi="Calibri" w:cs="Calibri"/>
          <w:sz w:val="21"/>
        </w:rPr>
        <w:t xml:space="preserve"> </w:t>
      </w:r>
    </w:p>
    <w:p w14:paraId="102B5663" w14:textId="77777777" w:rsidR="00610077" w:rsidRDefault="00000000">
      <w:pPr>
        <w:spacing w:after="76"/>
        <w:ind w:left="415"/>
      </w:pPr>
      <w:r>
        <w:t>Annualized Volatility: 15.40</w:t>
      </w:r>
      <w:proofErr w:type="gramStart"/>
      <w:r>
        <w:t>% .</w:t>
      </w:r>
      <w:proofErr w:type="gramEnd"/>
      <w:r>
        <w:rPr>
          <w:rFonts w:ascii="Calibri" w:eastAsia="Calibri" w:hAnsi="Calibri" w:cs="Calibri"/>
          <w:sz w:val="21"/>
        </w:rPr>
        <w:t xml:space="preserve"> </w:t>
      </w:r>
    </w:p>
    <w:p w14:paraId="699DC7D0" w14:textId="77777777" w:rsidR="00610077" w:rsidRDefault="00000000">
      <w:pPr>
        <w:spacing w:after="29"/>
        <w:ind w:left="415"/>
      </w:pPr>
      <w:r>
        <w:t xml:space="preserve">Sharpe Ratio: 2.54. </w:t>
      </w:r>
    </w:p>
    <w:p w14:paraId="65076B13" w14:textId="77777777" w:rsidR="00610077" w:rsidRDefault="00000000">
      <w:pPr>
        <w:spacing w:after="40" w:line="259" w:lineRule="auto"/>
        <w:ind w:left="360" w:firstLine="0"/>
        <w:jc w:val="left"/>
      </w:pPr>
      <w:r>
        <w:t xml:space="preserve"> </w:t>
      </w:r>
    </w:p>
    <w:p w14:paraId="68A3A30C" w14:textId="77777777" w:rsidR="00610077" w:rsidRDefault="00000000">
      <w:pPr>
        <w:spacing w:after="121" w:line="259" w:lineRule="auto"/>
        <w:ind w:left="360" w:firstLine="0"/>
        <w:jc w:val="left"/>
      </w:pPr>
      <w:r>
        <w:t xml:space="preserve"> </w:t>
      </w:r>
    </w:p>
    <w:p w14:paraId="68B2F9D2" w14:textId="77777777" w:rsidR="00610077" w:rsidRDefault="00000000">
      <w:pPr>
        <w:spacing w:after="15" w:line="259" w:lineRule="auto"/>
        <w:ind w:left="415"/>
        <w:jc w:val="left"/>
      </w:pPr>
      <w:r>
        <w:rPr>
          <w:sz w:val="21"/>
        </w:rPr>
        <w:t xml:space="preserve">Sharpe Ratio= </w:t>
      </w:r>
      <w:r>
        <w:rPr>
          <w:rFonts w:ascii="Cambria Math" w:eastAsia="Cambria Math" w:hAnsi="Cambria Math" w:cs="Cambria Math"/>
          <w:sz w:val="15"/>
        </w:rPr>
        <w:t>Portfolio</w:t>
      </w:r>
      <w:r>
        <w:rPr>
          <w:rFonts w:ascii="Calibri" w:eastAsia="Calibri" w:hAnsi="Calibri" w:cs="Calibri"/>
          <w:noProof/>
        </w:rPr>
        <mc:AlternateContent>
          <mc:Choice Requires="wpg">
            <w:drawing>
              <wp:inline distT="0" distB="0" distL="0" distR="0" wp14:anchorId="0A80424A" wp14:editId="757BD5F7">
                <wp:extent cx="2064766" cy="9525"/>
                <wp:effectExtent l="0" t="0" r="0" b="0"/>
                <wp:docPr id="7871" name="Group 7871"/>
                <wp:cNvGraphicFramePr/>
                <a:graphic xmlns:a="http://schemas.openxmlformats.org/drawingml/2006/main">
                  <a:graphicData uri="http://schemas.microsoft.com/office/word/2010/wordprocessingGroup">
                    <wpg:wgp>
                      <wpg:cNvGrpSpPr/>
                      <wpg:grpSpPr>
                        <a:xfrm>
                          <a:off x="0" y="0"/>
                          <a:ext cx="2064766" cy="9525"/>
                          <a:chOff x="0" y="0"/>
                          <a:chExt cx="2064766" cy="9525"/>
                        </a:xfrm>
                      </wpg:grpSpPr>
                      <wps:wsp>
                        <wps:cNvPr id="9424" name="Shape 9424"/>
                        <wps:cNvSpPr/>
                        <wps:spPr>
                          <a:xfrm>
                            <a:off x="0" y="0"/>
                            <a:ext cx="2064766" cy="9525"/>
                          </a:xfrm>
                          <a:custGeom>
                            <a:avLst/>
                            <a:gdLst/>
                            <a:ahLst/>
                            <a:cxnLst/>
                            <a:rect l="0" t="0" r="0" b="0"/>
                            <a:pathLst>
                              <a:path w="2064766" h="9525">
                                <a:moveTo>
                                  <a:pt x="0" y="0"/>
                                </a:moveTo>
                                <a:lnTo>
                                  <a:pt x="2064766" y="0"/>
                                </a:lnTo>
                                <a:lnTo>
                                  <a:pt x="20647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71" style="width:162.58pt;height:0.75pt;mso-position-horizontal-relative:char;mso-position-vertical-relative:line" coordsize="20647,95">
                <v:shape id="Shape 9425" style="position:absolute;width:20647;height:95;left:0;top:0;" coordsize="2064766,9525" path="m0,0l2064766,0l2064766,9525l0,9525l0,0">
                  <v:stroke weight="0pt" endcap="flat" joinstyle="miter" miterlimit="10" on="false" color="#000000" opacity="0"/>
                  <v:fill on="true" color="#000000"/>
                </v:shape>
              </v:group>
            </w:pict>
          </mc:Fallback>
        </mc:AlternateContent>
      </w:r>
      <w:r>
        <w:rPr>
          <w:rFonts w:ascii="Cambria Math" w:eastAsia="Cambria Math" w:hAnsi="Cambria Math" w:cs="Cambria Math"/>
          <w:sz w:val="15"/>
        </w:rPr>
        <w:t xml:space="preserve"> Annualized Return−Risk−Free Rate</w:t>
      </w:r>
      <w:r>
        <w:rPr>
          <w:rFonts w:ascii="Calibri" w:eastAsia="Calibri" w:hAnsi="Calibri" w:cs="Calibri"/>
          <w:sz w:val="21"/>
        </w:rPr>
        <w:t xml:space="preserve"> </w:t>
      </w:r>
    </w:p>
    <w:p w14:paraId="3526CDCC" w14:textId="77777777" w:rsidR="00610077" w:rsidRDefault="00000000">
      <w:pPr>
        <w:spacing w:after="184" w:line="259" w:lineRule="auto"/>
        <w:ind w:left="2271"/>
        <w:jc w:val="left"/>
      </w:pPr>
      <w:r>
        <w:rPr>
          <w:rFonts w:ascii="Cambria Math" w:eastAsia="Cambria Math" w:hAnsi="Cambria Math" w:cs="Cambria Math"/>
          <w:sz w:val="15"/>
        </w:rPr>
        <w:t>Portfolio Annualized Volatility</w:t>
      </w:r>
    </w:p>
    <w:p w14:paraId="2CB1E327" w14:textId="77777777" w:rsidR="00610077" w:rsidRDefault="00000000">
      <w:pPr>
        <w:spacing w:after="77" w:line="259" w:lineRule="auto"/>
        <w:ind w:left="0" w:firstLine="0"/>
        <w:jc w:val="left"/>
      </w:pPr>
      <w:r>
        <w:t xml:space="preserve"> </w:t>
      </w:r>
    </w:p>
    <w:p w14:paraId="3F64130E" w14:textId="77777777" w:rsidR="00610077" w:rsidRDefault="00000000">
      <w:pPr>
        <w:spacing w:after="78"/>
        <w:ind w:left="415"/>
      </w:pPr>
      <w:r>
        <w:t xml:space="preserve">Assuming a risk-free rate of 2%: </w:t>
      </w:r>
    </w:p>
    <w:p w14:paraId="7D3BC94A" w14:textId="77777777" w:rsidR="00610077" w:rsidRDefault="00000000">
      <w:pPr>
        <w:spacing w:after="29"/>
        <w:ind w:left="415"/>
      </w:pPr>
      <w:r>
        <w:t xml:space="preserve">Portfolio Sharpe Ratio: (6.50% - 2%) / 10.92% = </w:t>
      </w:r>
      <w:r>
        <w:rPr>
          <w:b/>
        </w:rPr>
        <w:t>0.41</w:t>
      </w:r>
      <w:r>
        <w:t xml:space="preserve"> </w:t>
      </w:r>
    </w:p>
    <w:p w14:paraId="79A6077A" w14:textId="77777777" w:rsidR="00610077" w:rsidRDefault="00000000">
      <w:pPr>
        <w:spacing w:after="78" w:line="259" w:lineRule="auto"/>
        <w:ind w:left="0" w:firstLine="0"/>
        <w:jc w:val="left"/>
      </w:pPr>
      <w:r>
        <w:t xml:space="preserve"> </w:t>
      </w:r>
    </w:p>
    <w:p w14:paraId="7179CD3A" w14:textId="77777777" w:rsidR="00610077" w:rsidRDefault="00000000">
      <w:pPr>
        <w:spacing w:after="34"/>
        <w:ind w:left="415"/>
      </w:pPr>
      <w:r>
        <w:t>QQQ Sharpe Ratio: (41.09% - 2%) / 15.4% = 2.54</w:t>
      </w:r>
      <w:r>
        <w:rPr>
          <w:b/>
        </w:rPr>
        <w:t xml:space="preserve"> </w:t>
      </w:r>
    </w:p>
    <w:p w14:paraId="68C3184A" w14:textId="77777777" w:rsidR="00610077" w:rsidRDefault="00000000">
      <w:pPr>
        <w:spacing w:after="72"/>
        <w:ind w:left="415"/>
      </w:pPr>
      <w:r>
        <w:t xml:space="preserve">The portfolio has a Sharpe ratio of 0.41, indicating a lower risk-adjusted return than </w:t>
      </w:r>
    </w:p>
    <w:p w14:paraId="1F87B038" w14:textId="77777777" w:rsidR="00610077" w:rsidRDefault="00000000">
      <w:pPr>
        <w:spacing w:after="34"/>
        <w:ind w:left="415"/>
      </w:pPr>
      <w:r>
        <w:t xml:space="preserve">QQQ (Sharpe ratio of 2.54). </w:t>
      </w:r>
    </w:p>
    <w:p w14:paraId="338005F3" w14:textId="77777777" w:rsidR="00610077" w:rsidRDefault="00000000">
      <w:pPr>
        <w:spacing w:after="35" w:line="259" w:lineRule="auto"/>
        <w:ind w:left="0" w:firstLine="0"/>
        <w:jc w:val="left"/>
      </w:pPr>
      <w:r>
        <w:t xml:space="preserve"> </w:t>
      </w:r>
    </w:p>
    <w:p w14:paraId="5170F831" w14:textId="77777777" w:rsidR="00610077" w:rsidRDefault="00000000">
      <w:pPr>
        <w:spacing w:after="0" w:line="331" w:lineRule="auto"/>
        <w:ind w:left="415"/>
      </w:pPr>
      <w:r>
        <w:t xml:space="preserve">This highlights the need to increase the return potential of a portfolio while maintaining manageable risk. </w:t>
      </w:r>
    </w:p>
    <w:p w14:paraId="75EE637D" w14:textId="77777777" w:rsidR="00610077" w:rsidRDefault="00000000">
      <w:pPr>
        <w:spacing w:after="114" w:line="259" w:lineRule="auto"/>
        <w:ind w:left="0" w:firstLine="0"/>
        <w:jc w:val="left"/>
      </w:pPr>
      <w:r>
        <w:t xml:space="preserve"> </w:t>
      </w:r>
    </w:p>
    <w:p w14:paraId="556B9DA2" w14:textId="77777777" w:rsidR="00610077" w:rsidRDefault="00000000">
      <w:pPr>
        <w:pStyle w:val="Heading1"/>
        <w:ind w:left="625" w:hanging="280"/>
      </w:pPr>
      <w:r>
        <w:t>Risk-Adjusted Excess Returns</w:t>
      </w:r>
      <w:r>
        <w:rPr>
          <w:u w:val="none"/>
        </w:rPr>
        <w:t xml:space="preserve"> </w:t>
      </w:r>
    </w:p>
    <w:p w14:paraId="1C8B26FF" w14:textId="77777777" w:rsidR="00610077" w:rsidRDefault="00000000">
      <w:pPr>
        <w:spacing w:after="72"/>
        <w:ind w:left="415"/>
      </w:pPr>
      <w:r>
        <w:t xml:space="preserve">The portfolio’s risk-adjusted excess return (alpha) was calculated using the Capital Asset </w:t>
      </w:r>
    </w:p>
    <w:p w14:paraId="2163C1A1" w14:textId="77777777" w:rsidR="00610077" w:rsidRDefault="00000000">
      <w:pPr>
        <w:spacing w:after="29"/>
        <w:ind w:left="415"/>
      </w:pPr>
      <w:r>
        <w:t xml:space="preserve">Pricing Model (CAPM).  </w:t>
      </w:r>
    </w:p>
    <w:p w14:paraId="0B0811C9" w14:textId="77777777" w:rsidR="00610077" w:rsidRDefault="00000000">
      <w:pPr>
        <w:spacing w:after="82" w:line="259" w:lineRule="auto"/>
        <w:ind w:left="420" w:firstLine="0"/>
        <w:jc w:val="left"/>
      </w:pPr>
      <w:r>
        <w:t xml:space="preserve"> </w:t>
      </w:r>
    </w:p>
    <w:p w14:paraId="4F9F0CC2" w14:textId="77777777" w:rsidR="00610077" w:rsidRDefault="00000000">
      <w:pPr>
        <w:spacing w:after="72"/>
        <w:ind w:left="415"/>
      </w:pPr>
      <w:r>
        <w:t xml:space="preserve">From regression analysis: </w:t>
      </w:r>
    </w:p>
    <w:p w14:paraId="23B945EC" w14:textId="77777777" w:rsidR="00610077" w:rsidRDefault="00000000">
      <w:pPr>
        <w:spacing w:after="77"/>
        <w:ind w:left="415"/>
      </w:pPr>
      <w:r>
        <w:t xml:space="preserve">Beta of the portfolio: 0.59 </w:t>
      </w:r>
    </w:p>
    <w:p w14:paraId="15BC213D" w14:textId="77777777" w:rsidR="00610077" w:rsidRDefault="00000000">
      <w:pPr>
        <w:spacing w:after="29"/>
        <w:ind w:left="415"/>
      </w:pPr>
      <w:r>
        <w:t xml:space="preserve">Alpha: -0.014% per day (negative alpha) </w:t>
      </w:r>
    </w:p>
    <w:p w14:paraId="6D53E4F8" w14:textId="77777777" w:rsidR="00610077" w:rsidRDefault="00000000">
      <w:pPr>
        <w:spacing w:after="35" w:line="259" w:lineRule="auto"/>
        <w:ind w:left="420" w:firstLine="0"/>
        <w:jc w:val="left"/>
      </w:pPr>
      <w:r>
        <w:lastRenderedPageBreak/>
        <w:t xml:space="preserve"> </w:t>
      </w:r>
    </w:p>
    <w:p w14:paraId="4683E6B2" w14:textId="77777777" w:rsidR="00610077" w:rsidRDefault="00000000">
      <w:pPr>
        <w:spacing w:after="5" w:line="304" w:lineRule="auto"/>
        <w:ind w:left="355"/>
        <w:jc w:val="left"/>
      </w:pPr>
      <w:r>
        <w:t xml:space="preserve">A negative alpha value means that the portfolio is not generating excess returns beyond what would be expected from its beta value. This suggests that stock selection or allocation could be improved. </w:t>
      </w:r>
    </w:p>
    <w:p w14:paraId="4D360405" w14:textId="77777777" w:rsidR="00610077" w:rsidRDefault="00000000">
      <w:pPr>
        <w:spacing w:after="232" w:line="259" w:lineRule="auto"/>
        <w:ind w:left="420" w:firstLine="0"/>
        <w:jc w:val="left"/>
      </w:pPr>
      <w:r>
        <w:t xml:space="preserve"> </w:t>
      </w:r>
    </w:p>
    <w:p w14:paraId="2C4506FD" w14:textId="77777777" w:rsidR="00610077" w:rsidRDefault="00000000">
      <w:pPr>
        <w:ind w:left="415"/>
      </w:pPr>
      <w:r>
        <w:t xml:space="preserve">Economic Cycles: </w:t>
      </w:r>
    </w:p>
    <w:p w14:paraId="6F29E336" w14:textId="77777777" w:rsidR="00610077" w:rsidRDefault="00000000">
      <w:pPr>
        <w:ind w:left="415"/>
      </w:pPr>
      <w:r>
        <w:t xml:space="preserve">In times of economic expansion, higher-risk assets like EVGO may offer significant </w:t>
      </w:r>
    </w:p>
    <w:p w14:paraId="34FE7D83" w14:textId="77777777" w:rsidR="00610077" w:rsidRDefault="00000000">
      <w:pPr>
        <w:ind w:left="415"/>
      </w:pPr>
      <w:r>
        <w:t>upside. In contrast, during periods of market downturns or economic recessions, low-</w:t>
      </w:r>
    </w:p>
    <w:p w14:paraId="2221DDD6" w14:textId="77777777" w:rsidR="00610077" w:rsidRDefault="00000000">
      <w:pPr>
        <w:ind w:left="415"/>
      </w:pPr>
      <w:r>
        <w:t>risk, dividend-paying stocks like TMUS may be more resilient.</w:t>
      </w:r>
      <w:r>
        <w:rPr>
          <w:rFonts w:ascii="Calibri" w:eastAsia="Calibri" w:hAnsi="Calibri" w:cs="Calibri"/>
          <w:sz w:val="21"/>
        </w:rPr>
        <w:t xml:space="preserve"> </w:t>
      </w:r>
    </w:p>
    <w:p w14:paraId="08482D04" w14:textId="77777777" w:rsidR="00610077" w:rsidRDefault="00000000">
      <w:pPr>
        <w:ind w:left="415"/>
      </w:pPr>
      <w:r>
        <w:t xml:space="preserve">Recommendation: Monitor economic conditions and adjust the portfolio accordingly, </w:t>
      </w:r>
    </w:p>
    <w:p w14:paraId="53F3B6DD" w14:textId="77777777" w:rsidR="00610077" w:rsidRDefault="00000000">
      <w:pPr>
        <w:spacing w:after="1" w:line="601" w:lineRule="auto"/>
        <w:ind w:left="415"/>
      </w:pPr>
      <w:r>
        <w:t>shifting towards more defensive stocks during market downturns and increasing exposure to growth stocks during periods of expansion.</w:t>
      </w:r>
      <w:r>
        <w:rPr>
          <w:rFonts w:ascii="Calibri" w:eastAsia="Calibri" w:hAnsi="Calibri" w:cs="Calibri"/>
          <w:sz w:val="21"/>
        </w:rPr>
        <w:t xml:space="preserve"> </w:t>
      </w:r>
    </w:p>
    <w:p w14:paraId="47BB0FE8" w14:textId="77777777" w:rsidR="00610077" w:rsidRDefault="00000000">
      <w:pPr>
        <w:ind w:left="415"/>
      </w:pPr>
      <w:r>
        <w:t>Interest Rate Changes:</w:t>
      </w:r>
      <w:r>
        <w:rPr>
          <w:rFonts w:ascii="Calibri" w:eastAsia="Calibri" w:hAnsi="Calibri" w:cs="Calibri"/>
          <w:sz w:val="21"/>
        </w:rPr>
        <w:t xml:space="preserve"> </w:t>
      </w:r>
    </w:p>
    <w:p w14:paraId="6E5E0607" w14:textId="77777777" w:rsidR="00610077" w:rsidRDefault="00000000">
      <w:pPr>
        <w:spacing w:after="5" w:line="595" w:lineRule="auto"/>
        <w:ind w:left="355"/>
        <w:jc w:val="left"/>
      </w:pPr>
      <w:r>
        <w:t>Rising interest rates can negatively impact the stock prices of high-growth companies. Therefore, it might be prudent to reduce exposure to growth stocks during periods of rising rates.</w:t>
      </w:r>
      <w:r>
        <w:rPr>
          <w:rFonts w:ascii="Calibri" w:eastAsia="Calibri" w:hAnsi="Calibri" w:cs="Calibri"/>
          <w:sz w:val="21"/>
        </w:rPr>
        <w:t xml:space="preserve"> </w:t>
      </w:r>
    </w:p>
    <w:p w14:paraId="281A3713" w14:textId="77777777" w:rsidR="00610077" w:rsidRDefault="00000000">
      <w:pPr>
        <w:ind w:left="415"/>
      </w:pPr>
      <w:r>
        <w:t xml:space="preserve">Recommendation: Stay alert to interest rate trends and adjust the portfolio to minimize </w:t>
      </w:r>
    </w:p>
    <w:p w14:paraId="10BFA98C" w14:textId="77777777" w:rsidR="00610077" w:rsidRDefault="00000000">
      <w:pPr>
        <w:spacing w:after="0" w:line="597" w:lineRule="auto"/>
        <w:ind w:left="415"/>
      </w:pPr>
      <w:r>
        <w:t>the impact of rising rates, possibly by rotating into dividend-paying stocks or sectors that are less sensitive to rate hikes.</w:t>
      </w:r>
      <w:r>
        <w:rPr>
          <w:rFonts w:ascii="Calibri" w:eastAsia="Calibri" w:hAnsi="Calibri" w:cs="Calibri"/>
          <w:sz w:val="21"/>
        </w:rPr>
        <w:t xml:space="preserve"> </w:t>
      </w:r>
    </w:p>
    <w:p w14:paraId="23D82AF1" w14:textId="77777777" w:rsidR="00610077" w:rsidRDefault="00000000">
      <w:pPr>
        <w:spacing w:after="0" w:line="602" w:lineRule="auto"/>
        <w:ind w:left="415"/>
      </w:pPr>
      <w:r>
        <w:t>Shifting between sectors based on macroeconomic trends (such as technology, healthcare, or energy) can optimize returns and minimize risk.</w:t>
      </w:r>
      <w:r>
        <w:rPr>
          <w:rFonts w:ascii="Calibri" w:eastAsia="Calibri" w:hAnsi="Calibri" w:cs="Calibri"/>
          <w:sz w:val="21"/>
        </w:rPr>
        <w:t xml:space="preserve"> </w:t>
      </w:r>
    </w:p>
    <w:p w14:paraId="36F4132D" w14:textId="77777777" w:rsidR="00610077" w:rsidRDefault="00000000">
      <w:pPr>
        <w:spacing w:after="0" w:line="601" w:lineRule="auto"/>
        <w:ind w:left="415"/>
      </w:pPr>
      <w:r>
        <w:t>Recommendation: Periodically review sector performance and consider rotating the portfolio into sectors with better growth prospects.</w:t>
      </w:r>
      <w:r>
        <w:rPr>
          <w:rFonts w:ascii="Calibri" w:eastAsia="Calibri" w:hAnsi="Calibri" w:cs="Calibri"/>
          <w:sz w:val="21"/>
        </w:rPr>
        <w:t xml:space="preserve"> </w:t>
      </w:r>
    </w:p>
    <w:p w14:paraId="4C9084F5" w14:textId="77777777" w:rsidR="00610077" w:rsidRDefault="00000000">
      <w:pPr>
        <w:ind w:left="415"/>
      </w:pPr>
      <w:r>
        <w:t>Performance During the Sample Period and Future Outlook</w:t>
      </w:r>
      <w:r>
        <w:rPr>
          <w:rFonts w:ascii="Calibri" w:eastAsia="Calibri" w:hAnsi="Calibri" w:cs="Calibri"/>
          <w:sz w:val="21"/>
        </w:rPr>
        <w:t xml:space="preserve"> </w:t>
      </w:r>
    </w:p>
    <w:p w14:paraId="5F497C26" w14:textId="77777777" w:rsidR="00610077" w:rsidRDefault="00000000">
      <w:pPr>
        <w:ind w:left="415"/>
      </w:pPr>
      <w:r>
        <w:lastRenderedPageBreak/>
        <w:t xml:space="preserve">During the sample period from September 13, 2024, to December 1, 2024, the </w:t>
      </w:r>
    </w:p>
    <w:p w14:paraId="212CB325" w14:textId="77777777" w:rsidR="00610077" w:rsidRDefault="00000000">
      <w:pPr>
        <w:ind w:left="415"/>
      </w:pPr>
      <w:r>
        <w:t xml:space="preserve">investment portfolio delivered a positive return of 6.50%. Although the portfolio </w:t>
      </w:r>
    </w:p>
    <w:p w14:paraId="4AE15726" w14:textId="77777777" w:rsidR="00610077" w:rsidRDefault="00000000">
      <w:pPr>
        <w:spacing w:after="0" w:line="590" w:lineRule="auto"/>
        <w:ind w:left="415" w:right="124"/>
      </w:pPr>
      <w:r>
        <w:t>achieved a positive return, the return was quite weak relative to the risk taken.</w:t>
      </w:r>
      <w:r>
        <w:rPr>
          <w:rFonts w:ascii="Calibri" w:eastAsia="Calibri" w:hAnsi="Calibri" w:cs="Calibri"/>
          <w:sz w:val="21"/>
        </w:rPr>
        <w:t xml:space="preserve"> </w:t>
      </w:r>
      <w:r>
        <w:t xml:space="preserve">To better assess the performance, we compared the portfolio's return with QQQ (an ETF </w:t>
      </w:r>
    </w:p>
    <w:p w14:paraId="41D93C4C" w14:textId="77777777" w:rsidR="00610077" w:rsidRDefault="00000000">
      <w:pPr>
        <w:ind w:left="415"/>
      </w:pPr>
      <w:r>
        <w:t xml:space="preserve">that tracks the NASDAQ-100 Index). During the same period, QQQ returned 7.65%, </w:t>
      </w:r>
    </w:p>
    <w:p w14:paraId="45EB143D" w14:textId="77777777" w:rsidR="00610077" w:rsidRDefault="00000000">
      <w:pPr>
        <w:ind w:left="415"/>
      </w:pPr>
      <w:r>
        <w:t>which is higher than the portfolio's 6.50%.</w:t>
      </w:r>
      <w:r>
        <w:rPr>
          <w:rFonts w:ascii="Calibri" w:eastAsia="Calibri" w:hAnsi="Calibri" w:cs="Calibri"/>
          <w:sz w:val="21"/>
        </w:rPr>
        <w:t xml:space="preserve"> </w:t>
      </w:r>
    </w:p>
    <w:p w14:paraId="66743FD3" w14:textId="77777777" w:rsidR="00610077" w:rsidRDefault="00000000">
      <w:pPr>
        <w:ind w:left="415"/>
      </w:pPr>
      <w:r>
        <w:t>Comparison with QQQ:</w:t>
      </w:r>
      <w:r>
        <w:rPr>
          <w:rFonts w:ascii="Calibri" w:eastAsia="Calibri" w:hAnsi="Calibri" w:cs="Calibri"/>
          <w:sz w:val="21"/>
        </w:rPr>
        <w:t xml:space="preserve"> </w:t>
      </w:r>
    </w:p>
    <w:p w14:paraId="14C16F6D" w14:textId="77777777" w:rsidR="00610077" w:rsidRDefault="00000000">
      <w:pPr>
        <w:ind w:left="415"/>
      </w:pPr>
      <w:r>
        <w:t xml:space="preserve">QQQ Return: </w:t>
      </w:r>
      <w:proofErr w:type="gramStart"/>
      <w:r>
        <w:t>7.65%;</w:t>
      </w:r>
      <w:proofErr w:type="gramEnd"/>
      <w:r>
        <w:rPr>
          <w:rFonts w:ascii="Calibri" w:eastAsia="Calibri" w:hAnsi="Calibri" w:cs="Calibri"/>
          <w:sz w:val="21"/>
        </w:rPr>
        <w:t xml:space="preserve"> </w:t>
      </w:r>
    </w:p>
    <w:p w14:paraId="5BDC600B" w14:textId="77777777" w:rsidR="00610077" w:rsidRDefault="00000000">
      <w:pPr>
        <w:ind w:left="415"/>
      </w:pPr>
      <w:r>
        <w:t xml:space="preserve">Portfolio Return: </w:t>
      </w:r>
      <w:proofErr w:type="gramStart"/>
      <w:r>
        <w:t>6.50%;</w:t>
      </w:r>
      <w:proofErr w:type="gramEnd"/>
      <w:r>
        <w:rPr>
          <w:rFonts w:ascii="Calibri" w:eastAsia="Calibri" w:hAnsi="Calibri" w:cs="Calibri"/>
          <w:sz w:val="21"/>
        </w:rPr>
        <w:t xml:space="preserve"> </w:t>
      </w:r>
    </w:p>
    <w:p w14:paraId="305D6FB9" w14:textId="77777777" w:rsidR="00610077" w:rsidRDefault="00000000">
      <w:pPr>
        <w:ind w:left="415"/>
      </w:pPr>
      <w:proofErr w:type="gramStart"/>
      <w:r>
        <w:t>It can be seen that the</w:t>
      </w:r>
      <w:proofErr w:type="gramEnd"/>
      <w:r>
        <w:t xml:space="preserve"> portfolio underperformed QQQ, indicating that during this period, </w:t>
      </w:r>
    </w:p>
    <w:p w14:paraId="0B93CB00" w14:textId="77777777" w:rsidR="00610077" w:rsidRDefault="00000000">
      <w:pPr>
        <w:spacing w:after="6" w:line="597" w:lineRule="auto"/>
        <w:ind w:left="415"/>
      </w:pPr>
      <w:r>
        <w:t>the portfolio did not outperform the market index. This suggests that the stock selection and market timing of the portfolio were not as effective as those of QQQ.</w:t>
      </w:r>
      <w:r>
        <w:rPr>
          <w:rFonts w:ascii="Calibri" w:eastAsia="Calibri" w:hAnsi="Calibri" w:cs="Calibri"/>
          <w:sz w:val="21"/>
        </w:rPr>
        <w:t xml:space="preserve"> </w:t>
      </w:r>
    </w:p>
    <w:p w14:paraId="3FDF7AB8" w14:textId="77777777" w:rsidR="00610077" w:rsidRDefault="00000000">
      <w:pPr>
        <w:ind w:left="415"/>
      </w:pPr>
      <w:r>
        <w:t xml:space="preserve"> Future Performance Outlook</w:t>
      </w:r>
      <w:r>
        <w:rPr>
          <w:rFonts w:ascii="Calibri" w:eastAsia="Calibri" w:hAnsi="Calibri" w:cs="Calibri"/>
          <w:sz w:val="21"/>
        </w:rPr>
        <w:t xml:space="preserve"> </w:t>
      </w:r>
    </w:p>
    <w:p w14:paraId="7B73B5C3" w14:textId="77777777" w:rsidR="00610077" w:rsidRDefault="00000000">
      <w:pPr>
        <w:ind w:left="415"/>
      </w:pPr>
      <w:r>
        <w:t xml:space="preserve">If the current portfolio is maintained, its future performance is likely to remain </w:t>
      </w:r>
      <w:proofErr w:type="gramStart"/>
      <w:r>
        <w:t>similar to</w:t>
      </w:r>
      <w:proofErr w:type="gramEnd"/>
      <w:r>
        <w:t xml:space="preserve"> </w:t>
      </w:r>
    </w:p>
    <w:p w14:paraId="211100A3" w14:textId="77777777" w:rsidR="00610077" w:rsidRDefault="00000000">
      <w:pPr>
        <w:ind w:left="415"/>
      </w:pPr>
      <w:r>
        <w:t>that observed during the sample period, with comparable returns and volatility. High-</w:t>
      </w:r>
    </w:p>
    <w:p w14:paraId="24523E5D" w14:textId="77777777" w:rsidR="00610077" w:rsidRDefault="00000000">
      <w:pPr>
        <w:ind w:left="415"/>
      </w:pPr>
      <w:r>
        <w:t xml:space="preserve">volatility stocks will continue to dominate the portfolio, which may result in significant </w:t>
      </w:r>
    </w:p>
    <w:p w14:paraId="022F44C4" w14:textId="77777777" w:rsidR="00610077" w:rsidRDefault="00000000">
      <w:pPr>
        <w:ind w:left="415"/>
      </w:pPr>
      <w:r>
        <w:t xml:space="preserve">fluctuations, and the portfolio’s risk will remain relatively high. For example, high-risk, </w:t>
      </w:r>
    </w:p>
    <w:p w14:paraId="6A6DB18C" w14:textId="77777777" w:rsidR="00610077" w:rsidRDefault="00000000">
      <w:pPr>
        <w:ind w:left="415"/>
      </w:pPr>
      <w:r>
        <w:t xml:space="preserve">high-reward stocks like EVGO, while offering the potential for higher returns, also come </w:t>
      </w:r>
    </w:p>
    <w:p w14:paraId="0D41375C" w14:textId="77777777" w:rsidR="00610077" w:rsidRDefault="00000000">
      <w:pPr>
        <w:spacing w:after="0" w:line="590" w:lineRule="auto"/>
        <w:ind w:left="415"/>
      </w:pPr>
      <w:r>
        <w:t>with extreme volatility, which may continue to impact the stability of the portfolio.</w:t>
      </w:r>
      <w:r>
        <w:rPr>
          <w:rFonts w:ascii="Calibri" w:eastAsia="Calibri" w:hAnsi="Calibri" w:cs="Calibri"/>
          <w:sz w:val="21"/>
        </w:rPr>
        <w:t xml:space="preserve"> </w:t>
      </w:r>
      <w:r>
        <w:t>However, if adjustments are made to the portfolio by reducing the allocation to high-</w:t>
      </w:r>
    </w:p>
    <w:p w14:paraId="19F57354" w14:textId="77777777" w:rsidR="00610077" w:rsidRDefault="00000000">
      <w:pPr>
        <w:ind w:left="415"/>
      </w:pPr>
      <w:r>
        <w:t xml:space="preserve">volatility stocks, future returns may become more stable, and the risk-adjusted </w:t>
      </w:r>
    </w:p>
    <w:p w14:paraId="78562C1D" w14:textId="77777777" w:rsidR="00610077" w:rsidRDefault="00000000">
      <w:pPr>
        <w:spacing w:after="387"/>
        <w:ind w:left="415"/>
      </w:pPr>
      <w:r>
        <w:t xml:space="preserve">performance could improve. This could potentially improve the portfolio's Sharpe ratio, </w:t>
      </w:r>
    </w:p>
    <w:p w14:paraId="1CE74322" w14:textId="77777777" w:rsidR="00610077" w:rsidRDefault="00000000">
      <w:pPr>
        <w:ind w:left="415"/>
      </w:pPr>
      <w:r>
        <w:lastRenderedPageBreak/>
        <w:t xml:space="preserve">leading to better risk-adjusted returns. </w:t>
      </w:r>
    </w:p>
    <w:p w14:paraId="6F0726B9" w14:textId="77777777" w:rsidR="00610077" w:rsidRDefault="00000000">
      <w:pPr>
        <w:spacing w:after="359" w:line="259" w:lineRule="auto"/>
        <w:ind w:left="420" w:firstLine="0"/>
        <w:jc w:val="left"/>
      </w:pPr>
      <w:r>
        <w:t xml:space="preserve"> </w:t>
      </w:r>
      <w:r>
        <w:rPr>
          <w:rFonts w:ascii="Calibri" w:eastAsia="Calibri" w:hAnsi="Calibri" w:cs="Calibri"/>
          <w:sz w:val="21"/>
        </w:rPr>
        <w:t xml:space="preserve"> </w:t>
      </w:r>
    </w:p>
    <w:p w14:paraId="006569F7" w14:textId="77777777" w:rsidR="00610077" w:rsidRDefault="00000000">
      <w:pPr>
        <w:ind w:left="415"/>
      </w:pPr>
      <w:r>
        <w:t xml:space="preserve">If no adjustments are made, the portfolio is likely to continue providing moderate </w:t>
      </w:r>
    </w:p>
    <w:p w14:paraId="4D9EEBCA" w14:textId="77777777" w:rsidR="00610077" w:rsidRDefault="00000000">
      <w:pPr>
        <w:ind w:left="415"/>
      </w:pPr>
      <w:r>
        <w:t xml:space="preserve">returns, but the dominance of high-volatility stocks may keep the overall risk high, </w:t>
      </w:r>
    </w:p>
    <w:p w14:paraId="64C89407" w14:textId="77777777" w:rsidR="00610077" w:rsidRDefault="00000000">
      <w:pPr>
        <w:ind w:left="415"/>
      </w:pPr>
      <w:r>
        <w:t xml:space="preserve">especially if the market experiences significant fluctuations. Based on the current market </w:t>
      </w:r>
    </w:p>
    <w:p w14:paraId="7DE3AB21" w14:textId="77777777" w:rsidR="00610077" w:rsidRDefault="00000000">
      <w:pPr>
        <w:spacing w:after="0" w:line="601" w:lineRule="auto"/>
        <w:ind w:left="415"/>
      </w:pPr>
      <w:r>
        <w:t>environment and historical performance, reducing exposure to high-risk stocks would make the portfolio more resilient, while still delivering reasonable returns.</w:t>
      </w:r>
      <w:r>
        <w:rPr>
          <w:rFonts w:ascii="Calibri" w:eastAsia="Calibri" w:hAnsi="Calibri" w:cs="Calibri"/>
          <w:sz w:val="21"/>
        </w:rPr>
        <w:t xml:space="preserve"> </w:t>
      </w:r>
    </w:p>
    <w:p w14:paraId="222901FB" w14:textId="77777777" w:rsidR="00610077" w:rsidRDefault="00000000">
      <w:pPr>
        <w:ind w:left="415"/>
      </w:pPr>
      <w:r>
        <w:t xml:space="preserve">Overall, if adjustments are made to the portfolio, we may see more stable returns in the future, with lower volatility and an improved Sharpe ratio, leading to better risk-adjusted </w:t>
      </w:r>
    </w:p>
    <w:p w14:paraId="1A3DD0BA" w14:textId="77777777" w:rsidR="00610077" w:rsidRDefault="00000000">
      <w:pPr>
        <w:ind w:left="415"/>
      </w:pPr>
      <w:r>
        <w:t xml:space="preserve">returns. If the current configuration is maintained, the portfolio will likely continue to </w:t>
      </w:r>
    </w:p>
    <w:p w14:paraId="507D418B" w14:textId="77777777" w:rsidR="00610077" w:rsidRDefault="00000000">
      <w:pPr>
        <w:ind w:left="415"/>
      </w:pPr>
      <w:r>
        <w:t xml:space="preserve">face higher volatility, which, although still delivering positive returns, may result in </w:t>
      </w:r>
    </w:p>
    <w:p w14:paraId="70484065" w14:textId="77777777" w:rsidR="00610077" w:rsidRDefault="00000000">
      <w:pPr>
        <w:spacing w:after="189"/>
        <w:ind w:left="415"/>
      </w:pPr>
      <w:r>
        <w:t>suboptimal risk-adjusted performance.</w:t>
      </w:r>
      <w:r>
        <w:rPr>
          <w:rFonts w:ascii="Calibri" w:eastAsia="Calibri" w:hAnsi="Calibri" w:cs="Calibri"/>
          <w:sz w:val="21"/>
        </w:rPr>
        <w:t xml:space="preserve"> </w:t>
      </w:r>
    </w:p>
    <w:p w14:paraId="1EDB46CC" w14:textId="77777777" w:rsidR="00610077" w:rsidRDefault="00000000">
      <w:pPr>
        <w:spacing w:after="118" w:line="259" w:lineRule="auto"/>
        <w:ind w:left="420" w:firstLine="0"/>
        <w:jc w:val="left"/>
      </w:pPr>
      <w:r>
        <w:t xml:space="preserve"> </w:t>
      </w:r>
    </w:p>
    <w:p w14:paraId="5D37CD5C" w14:textId="77777777" w:rsidR="00610077" w:rsidRDefault="00000000">
      <w:pPr>
        <w:pStyle w:val="Heading1"/>
        <w:ind w:left="705" w:hanging="360"/>
      </w:pPr>
      <w:r>
        <w:t xml:space="preserve">Changes in the Portfolio </w:t>
      </w:r>
      <w:r>
        <w:rPr>
          <w:u w:val="none"/>
        </w:rPr>
        <w:t xml:space="preserve"> </w:t>
      </w:r>
    </w:p>
    <w:p w14:paraId="40CE26AD" w14:textId="77777777" w:rsidR="00610077" w:rsidRDefault="00000000">
      <w:pPr>
        <w:spacing w:after="9" w:line="332" w:lineRule="auto"/>
        <w:ind w:left="415"/>
      </w:pPr>
      <w:r>
        <w:t xml:space="preserve">Based on the findings in your portfolio analysis, here are several key recommendations for adjustments to improve its performance: </w:t>
      </w:r>
    </w:p>
    <w:p w14:paraId="3FAE9609" w14:textId="77777777" w:rsidR="00610077" w:rsidRDefault="00000000">
      <w:pPr>
        <w:numPr>
          <w:ilvl w:val="0"/>
          <w:numId w:val="3"/>
        </w:numPr>
        <w:spacing w:after="75"/>
        <w:ind w:hanging="360"/>
        <w:jc w:val="left"/>
      </w:pPr>
      <w:r>
        <w:rPr>
          <w:b/>
        </w:rPr>
        <w:t>Increase Exposure to Higher-Return Assets</w:t>
      </w:r>
      <w:r>
        <w:t xml:space="preserve">: Our portfolio's annualized   return of 6.50% is significantly lower than the QQQ benchmark return of 35.01%, highlighting a need to enhance its return potential. To address this, we should consider adding growth-oriented stocks or sectors with historically higher returns, such as technology or innovative industries. These assets can help boost overall portfolio returns, even if they introduce a modest increase in risk, aligning our portfolio more closely with the performance of high-growth benchmarks like QQQ. </w:t>
      </w:r>
    </w:p>
    <w:p w14:paraId="27BEB349" w14:textId="77777777" w:rsidR="00610077" w:rsidRDefault="00000000">
      <w:pPr>
        <w:numPr>
          <w:ilvl w:val="0"/>
          <w:numId w:val="3"/>
        </w:numPr>
        <w:spacing w:after="70"/>
        <w:ind w:hanging="360"/>
        <w:jc w:val="left"/>
      </w:pPr>
      <w:r>
        <w:rPr>
          <w:b/>
        </w:rPr>
        <w:t>Enhance Diversification</w:t>
      </w:r>
      <w:r>
        <w:t xml:space="preserve">: Our portfolio's negative alpha indicates that its performance is not generating returns above the expected level, given its beta of 0.59, suggesting suboptimal stock selection or allocation. To address this, we should enhance diversification by including a mix of low-beta, stable stocks and higher-beta, </w:t>
      </w:r>
      <w:proofErr w:type="spellStart"/>
      <w:r>
        <w:t>highgrowth</w:t>
      </w:r>
      <w:proofErr w:type="spellEnd"/>
      <w:r>
        <w:t xml:space="preserve"> stocks. Additionally, diversifying across sectors and incorporating global equities can help us spread risk more effectively and capture a broader range of market opportunities. </w:t>
      </w:r>
    </w:p>
    <w:p w14:paraId="59F0AD18" w14:textId="77777777" w:rsidR="00610077" w:rsidRDefault="00000000">
      <w:pPr>
        <w:numPr>
          <w:ilvl w:val="0"/>
          <w:numId w:val="3"/>
        </w:numPr>
        <w:spacing w:after="36"/>
        <w:ind w:hanging="360"/>
        <w:jc w:val="left"/>
      </w:pPr>
      <w:r>
        <w:rPr>
          <w:b/>
        </w:rPr>
        <w:t>Reevaluate Risk Tolerance</w:t>
      </w:r>
      <w:r>
        <w:t xml:space="preserve">: Our portfolio's low volatility of 10.92% compared to QQQ's 15.45% makes it attractive to conservative investors but limits its return potential. If we can tolerate slightly more risk, we should consider rebalancing </w:t>
      </w:r>
      <w:r>
        <w:lastRenderedPageBreak/>
        <w:t xml:space="preserve">towards stocks or ETFs with higher volatility and stronger return potential, which can help enhance the overall performance of our portfolio. </w:t>
      </w:r>
    </w:p>
    <w:p w14:paraId="012D46B1" w14:textId="77777777" w:rsidR="00610077" w:rsidRDefault="00000000">
      <w:pPr>
        <w:numPr>
          <w:ilvl w:val="0"/>
          <w:numId w:val="3"/>
        </w:numPr>
        <w:spacing w:after="5" w:line="304" w:lineRule="auto"/>
        <w:ind w:hanging="360"/>
        <w:jc w:val="left"/>
      </w:pPr>
      <w:r>
        <w:rPr>
          <w:b/>
        </w:rPr>
        <w:t>Increase Sharpe Ratio</w:t>
      </w:r>
      <w:r>
        <w:t xml:space="preserve">: Our portfolio's Sharpe ratio of 0.41 is significantly lower than QQQ's 2.14, indicating less efficient risk-adjusted returns. To improve this, we should focus on assets with better risk-adjusted returns, such as stocks with strong historical performance and manageable risk profiles. Additionally, incorporating bonds or alternative assets with low correlation to equities can help stabilize risk while enhancing returns. </w:t>
      </w:r>
    </w:p>
    <w:p w14:paraId="40FDA707" w14:textId="77777777" w:rsidR="00610077" w:rsidRDefault="00000000">
      <w:pPr>
        <w:numPr>
          <w:ilvl w:val="0"/>
          <w:numId w:val="3"/>
        </w:numPr>
        <w:spacing w:after="5" w:line="304" w:lineRule="auto"/>
        <w:ind w:hanging="360"/>
        <w:jc w:val="left"/>
      </w:pPr>
      <w:r>
        <w:rPr>
          <w:b/>
        </w:rPr>
        <w:t>Improve Stock Selection</w:t>
      </w:r>
      <w:r>
        <w:t xml:space="preserve">: The portfolio's negative daily alpha of -0.014% implies underperformance relative to expectations based on CAPM. To address this, we should conduct a deeper analysis of individual stock performance, industry trends, and macroeconomic factors to identify securities with better performance potential. Replacing underperforming stocks with those that consistently outperform their respective benchmarks can help optimize returns. </w:t>
      </w:r>
    </w:p>
    <w:p w14:paraId="5DFD9042" w14:textId="77777777" w:rsidR="00610077" w:rsidRDefault="00000000">
      <w:pPr>
        <w:numPr>
          <w:ilvl w:val="0"/>
          <w:numId w:val="3"/>
        </w:numPr>
        <w:spacing w:after="5" w:line="304" w:lineRule="auto"/>
        <w:ind w:hanging="360"/>
        <w:jc w:val="left"/>
      </w:pPr>
      <w:r>
        <w:rPr>
          <w:b/>
        </w:rPr>
        <w:t>Adjust Allocation to Match Benchmark (QQQ):</w:t>
      </w:r>
      <w:r>
        <w:t xml:space="preserve"> Our portfolio significantly underperforms QQQ, highlighting a need for strategic reallocation. To address this, we should consider allocating a portion of the portfolio to an ETF like QQQ to mirror the market index's performance. This approach provides exposure to high-performing assets while retaining the flexibility of active management for the remaining portfolio. </w:t>
      </w:r>
    </w:p>
    <w:p w14:paraId="63941BAD" w14:textId="77777777" w:rsidR="00610077" w:rsidRDefault="00000000">
      <w:pPr>
        <w:numPr>
          <w:ilvl w:val="0"/>
          <w:numId w:val="3"/>
        </w:numPr>
        <w:spacing w:after="313" w:line="304" w:lineRule="auto"/>
        <w:ind w:hanging="360"/>
        <w:jc w:val="left"/>
      </w:pPr>
      <w:r>
        <w:rPr>
          <w:b/>
        </w:rPr>
        <w:t>Monitor Risk-Free Rate Changes:</w:t>
      </w:r>
      <w:r>
        <w:t xml:space="preserve"> The portfolio's Sharpe ratio calculation assumes a 2% risk-free </w:t>
      </w:r>
      <w:proofErr w:type="gramStart"/>
      <w:r>
        <w:t>rate, but</w:t>
      </w:r>
      <w:proofErr w:type="gramEnd"/>
      <w:r>
        <w:t xml:space="preserve"> shifts in economic conditions could affect this baseline. To stay aligned with market conditions, we should regularly monitor the risk-free rate, such as Treasury yields, and reassess our portfolio's risk-adjusted returns, </w:t>
      </w:r>
      <w:proofErr w:type="gramStart"/>
      <w:r>
        <w:t>making adjustments to</w:t>
      </w:r>
      <w:proofErr w:type="gramEnd"/>
      <w:r>
        <w:t xml:space="preserve"> holdings as needed. </w:t>
      </w:r>
    </w:p>
    <w:p w14:paraId="43F6A4AC" w14:textId="77777777" w:rsidR="00610077" w:rsidRDefault="00000000">
      <w:pPr>
        <w:spacing w:after="37" w:line="259" w:lineRule="auto"/>
        <w:ind w:left="730"/>
        <w:jc w:val="left"/>
      </w:pPr>
      <w:r>
        <w:rPr>
          <w:b/>
        </w:rPr>
        <w:t xml:space="preserve">Summary: </w:t>
      </w:r>
    </w:p>
    <w:p w14:paraId="681838BE" w14:textId="77777777" w:rsidR="00610077" w:rsidRDefault="00000000">
      <w:pPr>
        <w:spacing w:after="35"/>
        <w:ind w:left="730"/>
      </w:pPr>
      <w:r>
        <w:t xml:space="preserve">The portfolio could be optimized by reallocating some assets to higher-return investments, diversifying across sectors and geographies, and rebalancing to match the investor’s risk tolerance and return goals. Incorporating market benchmarks like QQQ partially, while retaining active management, might provide a better balance between growth and stability. </w:t>
      </w:r>
    </w:p>
    <w:p w14:paraId="0445BE33" w14:textId="77777777" w:rsidR="00610077" w:rsidRDefault="00000000">
      <w:pPr>
        <w:spacing w:after="115" w:line="259" w:lineRule="auto"/>
        <w:ind w:left="720" w:firstLine="0"/>
        <w:jc w:val="left"/>
      </w:pPr>
      <w:r>
        <w:t xml:space="preserve"> </w:t>
      </w:r>
    </w:p>
    <w:p w14:paraId="029E5098" w14:textId="77777777" w:rsidR="00610077" w:rsidRDefault="00000000">
      <w:pPr>
        <w:pStyle w:val="Heading1"/>
        <w:ind w:left="705" w:hanging="360"/>
      </w:pPr>
      <w:r>
        <w:t>Implementing these changes during the sample period</w:t>
      </w:r>
      <w:r>
        <w:rPr>
          <w:u w:val="none"/>
        </w:rPr>
        <w:t xml:space="preserve"> </w:t>
      </w:r>
    </w:p>
    <w:p w14:paraId="0E869530" w14:textId="77777777" w:rsidR="00610077" w:rsidRDefault="00000000">
      <w:pPr>
        <w:spacing w:after="76"/>
        <w:ind w:left="730"/>
      </w:pPr>
      <w:r>
        <w:t xml:space="preserve">Implementing these changes during the sample period (September 13, 2024, to December 1, 2024) could likely improve the portfolio's performance, although the degree of improvement would depend on market conditions and the specific adjustments made. Here's an analysis of how each recommendation could impact performance during the sample period: </w:t>
      </w:r>
    </w:p>
    <w:p w14:paraId="5C160E3B" w14:textId="77777777" w:rsidR="00610077" w:rsidRDefault="00000000">
      <w:pPr>
        <w:numPr>
          <w:ilvl w:val="0"/>
          <w:numId w:val="4"/>
        </w:numPr>
        <w:spacing w:after="37" w:line="259" w:lineRule="auto"/>
        <w:ind w:hanging="361"/>
        <w:jc w:val="left"/>
      </w:pPr>
      <w:r>
        <w:rPr>
          <w:b/>
        </w:rPr>
        <w:t>Increasing Exposure to Higher-Return Assets</w:t>
      </w:r>
      <w:r>
        <w:t xml:space="preserve">: </w:t>
      </w:r>
    </w:p>
    <w:p w14:paraId="552CDC54" w14:textId="77777777" w:rsidR="00610077" w:rsidRDefault="00000000">
      <w:pPr>
        <w:spacing w:after="72"/>
        <w:ind w:left="1211"/>
      </w:pPr>
      <w:r>
        <w:t xml:space="preserve">Adding growth-oriented stocks or sectors with historically higher returns could have boosted the portfolio's returns, especially if these assets performed well during the sample period. However, this might have increased portfolio volatility, potentially reducing its appeal to conservative investors. </w:t>
      </w:r>
    </w:p>
    <w:p w14:paraId="350D55C3" w14:textId="77777777" w:rsidR="00610077" w:rsidRDefault="00000000">
      <w:pPr>
        <w:numPr>
          <w:ilvl w:val="0"/>
          <w:numId w:val="4"/>
        </w:numPr>
        <w:spacing w:after="37" w:line="259" w:lineRule="auto"/>
        <w:ind w:hanging="361"/>
        <w:jc w:val="left"/>
      </w:pPr>
      <w:r>
        <w:rPr>
          <w:b/>
        </w:rPr>
        <w:t>Enhancing Diversification</w:t>
      </w:r>
      <w:r>
        <w:t xml:space="preserve">: </w:t>
      </w:r>
    </w:p>
    <w:p w14:paraId="5B9FEC1C" w14:textId="77777777" w:rsidR="00610077" w:rsidRDefault="00000000">
      <w:pPr>
        <w:spacing w:after="70"/>
        <w:ind w:left="1211"/>
      </w:pPr>
      <w:r>
        <w:lastRenderedPageBreak/>
        <w:t xml:space="preserve">Including a mix of low-beta, stable stocks and higher-beta, high-growth stocks, as well as diversifying across sectors and regions, would likely improve risk management and returns. A well-diversified portfolio could have reduced the negative impact of poorly performing stocks and captured gains from a broader range of market opportunities. </w:t>
      </w:r>
    </w:p>
    <w:p w14:paraId="2131D8F2" w14:textId="77777777" w:rsidR="00610077" w:rsidRDefault="00000000">
      <w:pPr>
        <w:numPr>
          <w:ilvl w:val="0"/>
          <w:numId w:val="4"/>
        </w:numPr>
        <w:spacing w:after="37" w:line="259" w:lineRule="auto"/>
        <w:ind w:hanging="361"/>
        <w:jc w:val="left"/>
      </w:pPr>
      <w:r>
        <w:rPr>
          <w:b/>
        </w:rPr>
        <w:t>Rebalancing Towards Higher Volatility Assets</w:t>
      </w:r>
      <w:r>
        <w:t xml:space="preserve">: </w:t>
      </w:r>
    </w:p>
    <w:p w14:paraId="105C8F8A" w14:textId="77777777" w:rsidR="00610077" w:rsidRDefault="00000000">
      <w:pPr>
        <w:spacing w:after="68"/>
        <w:ind w:left="1211"/>
      </w:pPr>
      <w:r>
        <w:t xml:space="preserve">Shifting towards assets with higher volatility but stronger return potential might have increased the Sharpe ratio and returns during the sample period. If </w:t>
      </w:r>
      <w:proofErr w:type="spellStart"/>
      <w:r>
        <w:t>highervolatility</w:t>
      </w:r>
      <w:proofErr w:type="spellEnd"/>
      <w:r>
        <w:t xml:space="preserve"> assets performed well during this time, the portfolio would have benefited, albeit with greater fluctuations. </w:t>
      </w:r>
    </w:p>
    <w:p w14:paraId="49FB4985" w14:textId="77777777" w:rsidR="00610077" w:rsidRDefault="00000000">
      <w:pPr>
        <w:numPr>
          <w:ilvl w:val="0"/>
          <w:numId w:val="4"/>
        </w:numPr>
        <w:spacing w:after="37" w:line="259" w:lineRule="auto"/>
        <w:ind w:hanging="361"/>
        <w:jc w:val="left"/>
      </w:pPr>
      <w:r>
        <w:rPr>
          <w:b/>
        </w:rPr>
        <w:t>Improving the Sharpe Ratio</w:t>
      </w:r>
      <w:r>
        <w:t xml:space="preserve">: </w:t>
      </w:r>
    </w:p>
    <w:p w14:paraId="4840497C" w14:textId="77777777" w:rsidR="00610077" w:rsidRDefault="00000000">
      <w:pPr>
        <w:spacing w:after="109"/>
        <w:ind w:left="1211"/>
      </w:pPr>
      <w:r>
        <w:t xml:space="preserve">Adding assets with higher Sharpe ratios and low correlation to existing holdings could have enhanced risk-adjusted returns, providing a more efficient balance between risk and reward. </w:t>
      </w:r>
    </w:p>
    <w:p w14:paraId="654FEF8A" w14:textId="77777777" w:rsidR="00610077" w:rsidRDefault="00000000">
      <w:pPr>
        <w:numPr>
          <w:ilvl w:val="0"/>
          <w:numId w:val="4"/>
        </w:numPr>
        <w:spacing w:after="37" w:line="259" w:lineRule="auto"/>
        <w:ind w:hanging="361"/>
        <w:jc w:val="left"/>
      </w:pPr>
      <w:r>
        <w:rPr>
          <w:b/>
        </w:rPr>
        <w:t>Improving Stock Selection</w:t>
      </w:r>
      <w:r>
        <w:t xml:space="preserve">: </w:t>
      </w:r>
    </w:p>
    <w:p w14:paraId="46A564A3" w14:textId="77777777" w:rsidR="00610077" w:rsidRDefault="00000000">
      <w:pPr>
        <w:spacing w:after="69"/>
        <w:ind w:left="1211"/>
      </w:pPr>
      <w:r>
        <w:t xml:space="preserve">Replacing underperforming stocks with securities that consistently outperformed benchmarks could have addressed the negative alpha. If stronger-performing stocks had been included, the portfolio's return and alpha would likely have improved during the sample period. </w:t>
      </w:r>
    </w:p>
    <w:p w14:paraId="5212A372" w14:textId="77777777" w:rsidR="00610077" w:rsidRDefault="00000000">
      <w:pPr>
        <w:numPr>
          <w:ilvl w:val="0"/>
          <w:numId w:val="4"/>
        </w:numPr>
        <w:spacing w:after="37" w:line="259" w:lineRule="auto"/>
        <w:ind w:hanging="361"/>
        <w:jc w:val="left"/>
      </w:pPr>
      <w:r>
        <w:rPr>
          <w:b/>
        </w:rPr>
        <w:t>Adjusting Allocation to Match QQQ</w:t>
      </w:r>
      <w:r>
        <w:t xml:space="preserve">: </w:t>
      </w:r>
    </w:p>
    <w:p w14:paraId="30152B46" w14:textId="77777777" w:rsidR="00610077" w:rsidRDefault="00000000">
      <w:pPr>
        <w:spacing w:after="69"/>
        <w:ind w:left="1211"/>
      </w:pPr>
      <w:r>
        <w:t xml:space="preserve">Allocating a portion of the portfolio to an ETF like QQQ would have provided exposure to the high-performing technology sector and improved overall returns. However, this would have also increased volatility, aligning the portfolio closer to the benchmark. </w:t>
      </w:r>
    </w:p>
    <w:p w14:paraId="3729F49F" w14:textId="77777777" w:rsidR="00610077" w:rsidRDefault="00000000">
      <w:pPr>
        <w:numPr>
          <w:ilvl w:val="0"/>
          <w:numId w:val="4"/>
        </w:numPr>
        <w:spacing w:after="37" w:line="259" w:lineRule="auto"/>
        <w:ind w:hanging="361"/>
        <w:jc w:val="left"/>
      </w:pPr>
      <w:r>
        <w:rPr>
          <w:b/>
        </w:rPr>
        <w:t>Monitoring Risk-Free Rate Changes</w:t>
      </w:r>
      <w:r>
        <w:t xml:space="preserve">: </w:t>
      </w:r>
    </w:p>
    <w:p w14:paraId="5F9A4995" w14:textId="77777777" w:rsidR="00610077" w:rsidRDefault="00000000">
      <w:pPr>
        <w:spacing w:after="45"/>
        <w:ind w:left="1211"/>
      </w:pPr>
      <w:r>
        <w:t xml:space="preserve">Regularly reassessing the portfolio's risk-adjusted returns in response to changes in the risk-free rate would ensure alignment with prevailing market conditions, optimizing the Sharpe ratio and guiding effective adjustments. </w:t>
      </w:r>
    </w:p>
    <w:p w14:paraId="3D05C075" w14:textId="77777777" w:rsidR="00610077" w:rsidRDefault="00000000">
      <w:pPr>
        <w:spacing w:after="35" w:line="259" w:lineRule="auto"/>
        <w:ind w:left="360" w:firstLine="0"/>
        <w:jc w:val="left"/>
      </w:pPr>
      <w:r>
        <w:t xml:space="preserve"> </w:t>
      </w:r>
    </w:p>
    <w:p w14:paraId="20B50E7D" w14:textId="77777777" w:rsidR="00610077" w:rsidRDefault="00000000">
      <w:pPr>
        <w:spacing w:after="119" w:line="259" w:lineRule="auto"/>
        <w:ind w:left="360" w:firstLine="0"/>
        <w:jc w:val="left"/>
      </w:pPr>
      <w:r>
        <w:t xml:space="preserve"> </w:t>
      </w:r>
    </w:p>
    <w:p w14:paraId="5CF99DE9" w14:textId="77777777" w:rsidR="00610077" w:rsidRDefault="00000000">
      <w:pPr>
        <w:pStyle w:val="Heading1"/>
        <w:ind w:left="625" w:hanging="280"/>
      </w:pPr>
      <w:r>
        <w:t>Portfolio performance improvement in the future</w:t>
      </w:r>
      <w:r>
        <w:rPr>
          <w:u w:val="none"/>
        </w:rPr>
        <w:t xml:space="preserve"> </w:t>
      </w:r>
    </w:p>
    <w:p w14:paraId="6F2BDEF0" w14:textId="77777777" w:rsidR="00610077" w:rsidRDefault="00000000">
      <w:pPr>
        <w:spacing w:after="33"/>
        <w:ind w:left="730"/>
      </w:pPr>
      <w:r>
        <w:t xml:space="preserve">These changes collectively address critical areas of portfolio management, including diversification, risk management, and return optimization, which are essential for achieving sustained investment success. By enhancing diversification, we reduce our portfolio’s dependence on any single asset or sector, thereby mitigating the impact of adverse market movements in specific areas. Incorporating a mix of low-beta and </w:t>
      </w:r>
      <w:proofErr w:type="spellStart"/>
      <w:r>
        <w:t>highbeta</w:t>
      </w:r>
      <w:proofErr w:type="spellEnd"/>
      <w:r>
        <w:t xml:space="preserve"> assets allows us to balance stability and growth, while sectoral and geographical diversification enables us to capture opportunities across broader market spectrums. </w:t>
      </w:r>
    </w:p>
    <w:p w14:paraId="0114A197" w14:textId="77777777" w:rsidR="00610077" w:rsidRDefault="00000000">
      <w:pPr>
        <w:spacing w:after="35" w:line="259" w:lineRule="auto"/>
        <w:ind w:left="720" w:firstLine="0"/>
        <w:jc w:val="left"/>
      </w:pPr>
      <w:r>
        <w:t xml:space="preserve"> </w:t>
      </w:r>
    </w:p>
    <w:p w14:paraId="0F87CFD6" w14:textId="77777777" w:rsidR="00610077" w:rsidRDefault="00000000">
      <w:pPr>
        <w:spacing w:after="36"/>
        <w:ind w:left="730"/>
      </w:pPr>
      <w:r>
        <w:t xml:space="preserve">Improving risk management through rebalancing toward higher-return assets with manageable volatility and leveraging risk-adjusted performance metrics, such as the Sharpe ratio and alpha, provides us with a clearer understanding of our portfolio’s efficiency. This focus enables us to select assets that not only offer strong potential returns but also align with our risk tolerance and long-term objectives. </w:t>
      </w:r>
    </w:p>
    <w:p w14:paraId="683CFE23" w14:textId="77777777" w:rsidR="00610077" w:rsidRDefault="00000000">
      <w:pPr>
        <w:spacing w:after="40" w:line="259" w:lineRule="auto"/>
        <w:ind w:left="720" w:firstLine="0"/>
        <w:jc w:val="left"/>
      </w:pPr>
      <w:r>
        <w:t xml:space="preserve"> </w:t>
      </w:r>
    </w:p>
    <w:p w14:paraId="06EE6F4E" w14:textId="77777777" w:rsidR="00610077" w:rsidRDefault="00000000">
      <w:pPr>
        <w:spacing w:after="34"/>
        <w:ind w:left="730"/>
      </w:pPr>
      <w:r>
        <w:lastRenderedPageBreak/>
        <w:t xml:space="preserve">Optimizing returns requires a proactive approach to stock selection, emphasizing securities with a consistent track record of outperforming benchmarks and adjusting allocations based on current market conditions. Allocating a portion of our portfolio to index-tracking ETFs, such as QQQ, ensures exposure to high-performing sectors like technology while maintaining the flexibility to actively manage other portions of the portfolio to capitalize on specific opportunities. </w:t>
      </w:r>
    </w:p>
    <w:p w14:paraId="0430B265" w14:textId="77777777" w:rsidR="00610077" w:rsidRDefault="00000000">
      <w:pPr>
        <w:spacing w:after="40" w:line="259" w:lineRule="auto"/>
        <w:ind w:left="720" w:firstLine="0"/>
        <w:jc w:val="left"/>
      </w:pPr>
      <w:r>
        <w:t xml:space="preserve"> </w:t>
      </w:r>
    </w:p>
    <w:p w14:paraId="5B3882DD" w14:textId="77777777" w:rsidR="00610077" w:rsidRDefault="00000000">
      <w:pPr>
        <w:spacing w:after="35"/>
        <w:ind w:left="730"/>
      </w:pPr>
      <w:r>
        <w:t xml:space="preserve">To position our portfolio for long-term success, it is essential that we monitor and adapt to evolving market dynamics and economic indicators, such as interest rates and the risk-free rate. Regular evaluation of these factors ensures our portfolio remains aligned with our investment goals and the prevailing economic environment. This adaptability is critical for navigating market volatility and capturing emerging trends. </w:t>
      </w:r>
    </w:p>
    <w:p w14:paraId="22013EA4" w14:textId="77777777" w:rsidR="00610077" w:rsidRDefault="00000000">
      <w:pPr>
        <w:spacing w:after="35" w:line="259" w:lineRule="auto"/>
        <w:ind w:left="720" w:firstLine="0"/>
        <w:jc w:val="left"/>
      </w:pPr>
      <w:r>
        <w:t xml:space="preserve"> </w:t>
      </w:r>
    </w:p>
    <w:p w14:paraId="24CCD1B4" w14:textId="77777777" w:rsidR="00610077" w:rsidRDefault="00000000">
      <w:pPr>
        <w:spacing w:after="36"/>
        <w:ind w:left="730"/>
      </w:pPr>
      <w:r>
        <w:t xml:space="preserve">Ultimately, the success of these changes will hinge on our disciplined implementation, continuous monitoring, and willingness to adjust strategies based on new data and market shifts. By adopting a dynamic and informed approach, we can achieve improved risk-adjusted returns, greater resilience to market fluctuations, and a more consistent pathway toward long-term financial growth. </w:t>
      </w:r>
    </w:p>
    <w:p w14:paraId="60959BBD" w14:textId="77777777" w:rsidR="00610077" w:rsidRDefault="00000000">
      <w:pPr>
        <w:spacing w:after="40" w:line="259" w:lineRule="auto"/>
        <w:ind w:left="720" w:firstLine="0"/>
        <w:jc w:val="left"/>
      </w:pPr>
      <w:r>
        <w:t xml:space="preserve"> </w:t>
      </w:r>
    </w:p>
    <w:p w14:paraId="66848816" w14:textId="77777777" w:rsidR="00610077" w:rsidRDefault="00000000">
      <w:pPr>
        <w:spacing w:after="314" w:line="259" w:lineRule="auto"/>
        <w:ind w:left="720" w:firstLine="0"/>
        <w:jc w:val="left"/>
      </w:pPr>
      <w:r>
        <w:rPr>
          <w:b/>
          <w:i/>
        </w:rPr>
        <w:t xml:space="preserve"> </w:t>
      </w:r>
    </w:p>
    <w:p w14:paraId="05659973" w14:textId="77777777" w:rsidR="00610077" w:rsidRDefault="00000000">
      <w:pPr>
        <w:spacing w:after="0" w:line="259" w:lineRule="auto"/>
        <w:ind w:left="720" w:firstLine="0"/>
        <w:jc w:val="left"/>
      </w:pPr>
      <w:r>
        <w:rPr>
          <w:b/>
          <w:i/>
          <w:sz w:val="36"/>
          <w:u w:val="single" w:color="000000"/>
        </w:rPr>
        <w:t>8. Conclusion</w:t>
      </w:r>
      <w:r>
        <w:rPr>
          <w:b/>
          <w:i/>
          <w:sz w:val="36"/>
        </w:rPr>
        <w:t xml:space="preserve"> </w:t>
      </w:r>
    </w:p>
    <w:p w14:paraId="25BC8202" w14:textId="77777777" w:rsidR="00610077" w:rsidRDefault="00000000">
      <w:pPr>
        <w:spacing w:after="29"/>
        <w:ind w:left="730"/>
      </w:pPr>
      <w:r>
        <w:t>Comprehensive Evaluation</w:t>
      </w:r>
      <w:r>
        <w:rPr>
          <w:rFonts w:ascii="Calibri" w:eastAsia="Calibri" w:hAnsi="Calibri" w:cs="Calibri"/>
          <w:sz w:val="21"/>
        </w:rPr>
        <w:t xml:space="preserve"> </w:t>
      </w:r>
    </w:p>
    <w:p w14:paraId="4BD4472A" w14:textId="77777777" w:rsidR="00610077" w:rsidRDefault="00000000">
      <w:pPr>
        <w:spacing w:after="5" w:line="304" w:lineRule="auto"/>
        <w:ind w:left="730"/>
        <w:jc w:val="left"/>
      </w:pPr>
      <w:r>
        <w:t xml:space="preserve">Overall, the portfolio has shown the potential for decent returns, but its high volatility and relatively low Sharpe ratio indicate that it may not be offering optimal </w:t>
      </w:r>
      <w:proofErr w:type="spellStart"/>
      <w:r>
        <w:t>riskadjusted</w:t>
      </w:r>
      <w:proofErr w:type="spellEnd"/>
      <w:r>
        <w:t xml:space="preserve"> returns. The mix of high-risk, high-return stocks like EVGO and lower-risk stocks like TMUS creates a volatile portfolio that may not be suitable for all investors. A more balanced portfolio with a greater focus on stable, low-volatility stocks could improve both performance and risk-adjusted returns.</w:t>
      </w:r>
      <w:r>
        <w:rPr>
          <w:rFonts w:ascii="Calibri" w:eastAsia="Calibri" w:hAnsi="Calibri" w:cs="Calibri"/>
          <w:sz w:val="21"/>
        </w:rPr>
        <w:t xml:space="preserve"> </w:t>
      </w:r>
    </w:p>
    <w:p w14:paraId="29BAF831" w14:textId="77777777" w:rsidR="00610077" w:rsidRDefault="00000000">
      <w:pPr>
        <w:spacing w:after="29"/>
        <w:ind w:left="730"/>
      </w:pPr>
      <w:r>
        <w:t>Investment Recommendations</w:t>
      </w:r>
      <w:r>
        <w:rPr>
          <w:rFonts w:ascii="Calibri" w:eastAsia="Calibri" w:hAnsi="Calibri" w:cs="Calibri"/>
          <w:sz w:val="21"/>
        </w:rPr>
        <w:t xml:space="preserve"> </w:t>
      </w:r>
    </w:p>
    <w:p w14:paraId="04D032CA" w14:textId="77777777" w:rsidR="00610077" w:rsidRDefault="00000000">
      <w:pPr>
        <w:spacing w:after="5" w:line="304" w:lineRule="auto"/>
        <w:ind w:left="730"/>
        <w:jc w:val="left"/>
      </w:pPr>
      <w:r>
        <w:t xml:space="preserve">Monitor macroeconomic trends and </w:t>
      </w:r>
      <w:proofErr w:type="gramStart"/>
      <w:r>
        <w:t>make adjustments</w:t>
      </w:r>
      <w:proofErr w:type="gramEnd"/>
      <w:r>
        <w:t xml:space="preserve"> as necessary, focusing on rebalancing the portfolio in response to changes in economic conditions and interest rates.</w:t>
      </w:r>
      <w:r>
        <w:rPr>
          <w:rFonts w:ascii="Calibri" w:eastAsia="Calibri" w:hAnsi="Calibri" w:cs="Calibri"/>
          <w:sz w:val="21"/>
        </w:rPr>
        <w:t xml:space="preserve"> </w:t>
      </w:r>
    </w:p>
    <w:p w14:paraId="423931B2" w14:textId="77777777" w:rsidR="00610077" w:rsidRDefault="00000000">
      <w:pPr>
        <w:spacing w:after="42"/>
        <w:ind w:left="730"/>
      </w:pPr>
      <w:r>
        <w:t xml:space="preserve">By implementing these changes, the portfolio can potentially achieve better </w:t>
      </w:r>
      <w:proofErr w:type="spellStart"/>
      <w:r>
        <w:t>riskadjusted</w:t>
      </w:r>
      <w:proofErr w:type="spellEnd"/>
      <w:r>
        <w:t xml:space="preserve"> returns in the future, while also providing a more stable performance profile.</w:t>
      </w:r>
      <w:r>
        <w:rPr>
          <w:rFonts w:ascii="Calibri" w:eastAsia="Calibri" w:hAnsi="Calibri" w:cs="Calibri"/>
          <w:sz w:val="21"/>
        </w:rPr>
        <w:t xml:space="preserve"> </w:t>
      </w:r>
    </w:p>
    <w:p w14:paraId="273449FD" w14:textId="77777777" w:rsidR="00610077" w:rsidRDefault="00000000">
      <w:pPr>
        <w:spacing w:after="0" w:line="259" w:lineRule="auto"/>
        <w:ind w:left="720" w:firstLine="0"/>
        <w:jc w:val="left"/>
      </w:pPr>
      <w:r>
        <w:t xml:space="preserve"> </w:t>
      </w:r>
    </w:p>
    <w:sectPr w:rsidR="00610077">
      <w:pgSz w:w="11905" w:h="16840"/>
      <w:pgMar w:top="1475" w:right="1787" w:bottom="1548"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B72902"/>
    <w:multiLevelType w:val="hybridMultilevel"/>
    <w:tmpl w:val="EE9EC97C"/>
    <w:lvl w:ilvl="0" w:tplc="364EC95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706C6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348A3B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36EBE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43A6F9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C02A7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F0C7A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994CCD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F281FE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A56AD3"/>
    <w:multiLevelType w:val="hybridMultilevel"/>
    <w:tmpl w:val="DC043BA2"/>
    <w:lvl w:ilvl="0" w:tplc="07E66056">
      <w:start w:val="1"/>
      <w:numFmt w:val="decimal"/>
      <w:lvlText w:val="%1."/>
      <w:lvlJc w:val="left"/>
      <w:pPr>
        <w:ind w:left="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6657F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7CE062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042A61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FE598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3490C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049E8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98CE9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B2F03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393496D"/>
    <w:multiLevelType w:val="hybridMultilevel"/>
    <w:tmpl w:val="51604C8A"/>
    <w:lvl w:ilvl="0" w:tplc="DA0A369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03C8934">
      <w:start w:val="1"/>
      <w:numFmt w:val="lowerLetter"/>
      <w:lvlText w:val="%2"/>
      <w:lvlJc w:val="left"/>
      <w:pPr>
        <w:ind w:left="12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2D22C8EC">
      <w:start w:val="1"/>
      <w:numFmt w:val="lowerRoman"/>
      <w:lvlText w:val="%3"/>
      <w:lvlJc w:val="left"/>
      <w:pPr>
        <w:ind w:left="19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06C8B20">
      <w:start w:val="1"/>
      <w:numFmt w:val="decimal"/>
      <w:lvlText w:val="%4"/>
      <w:lvlJc w:val="left"/>
      <w:pPr>
        <w:ind w:left="26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A2E8746">
      <w:start w:val="1"/>
      <w:numFmt w:val="lowerLetter"/>
      <w:lvlText w:val="%5"/>
      <w:lvlJc w:val="left"/>
      <w:pPr>
        <w:ind w:left="34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050B96A">
      <w:start w:val="1"/>
      <w:numFmt w:val="lowerRoman"/>
      <w:lvlText w:val="%6"/>
      <w:lvlJc w:val="left"/>
      <w:pPr>
        <w:ind w:left="41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AEEEF92">
      <w:start w:val="1"/>
      <w:numFmt w:val="decimal"/>
      <w:lvlText w:val="%7"/>
      <w:lvlJc w:val="left"/>
      <w:pPr>
        <w:ind w:left="48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FCA7F1C">
      <w:start w:val="1"/>
      <w:numFmt w:val="lowerLetter"/>
      <w:lvlText w:val="%8"/>
      <w:lvlJc w:val="left"/>
      <w:pPr>
        <w:ind w:left="55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812DC7C">
      <w:start w:val="1"/>
      <w:numFmt w:val="lowerRoman"/>
      <w:lvlText w:val="%9"/>
      <w:lvlJc w:val="left"/>
      <w:pPr>
        <w:ind w:left="62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5EB372A"/>
    <w:multiLevelType w:val="hybridMultilevel"/>
    <w:tmpl w:val="FED28640"/>
    <w:lvl w:ilvl="0" w:tplc="C3366AD6">
      <w:start w:val="1"/>
      <w:numFmt w:val="decimal"/>
      <w:lvlText w:val="%1."/>
      <w:lvlJc w:val="left"/>
      <w:pPr>
        <w:ind w:left="11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BEF34A">
      <w:start w:val="1"/>
      <w:numFmt w:val="lowerLetter"/>
      <w:lvlText w:val="%2"/>
      <w:lvlJc w:val="left"/>
      <w:pPr>
        <w:ind w:left="1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33880D2">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20CD0C">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ECA986">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8A6D990">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388668">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9A0C74">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FC9542">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A01511A"/>
    <w:multiLevelType w:val="hybridMultilevel"/>
    <w:tmpl w:val="4FC464AA"/>
    <w:lvl w:ilvl="0" w:tplc="6582832C">
      <w:start w:val="1"/>
      <w:numFmt w:val="decimal"/>
      <w:lvlText w:val="%1."/>
      <w:lvlJc w:val="left"/>
      <w:pPr>
        <w:ind w:left="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DF4EEA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75C711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800B7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C0C0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43EE19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7C24F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20EFF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C6ED7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868177605">
    <w:abstractNumId w:val="1"/>
  </w:num>
  <w:num w:numId="2" w16cid:durableId="1851413503">
    <w:abstractNumId w:val="4"/>
  </w:num>
  <w:num w:numId="3" w16cid:durableId="1717388455">
    <w:abstractNumId w:val="0"/>
  </w:num>
  <w:num w:numId="4" w16cid:durableId="222251590">
    <w:abstractNumId w:val="3"/>
  </w:num>
  <w:num w:numId="5" w16cid:durableId="907764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77"/>
    <w:rsid w:val="000F704B"/>
    <w:rsid w:val="00464FC4"/>
    <w:rsid w:val="00610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470EC"/>
  <w15:docId w15:val="{5E5E79A1-869E-4826-9DF9-70B14DF5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2" w:line="265"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5"/>
      </w:numPr>
      <w:spacing w:after="0"/>
      <w:ind w:left="10" w:hanging="10"/>
      <w:outlineLvl w:val="0"/>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2713</Words>
  <Characters>15469</Characters>
  <Application>Microsoft Office Word</Application>
  <DocSecurity>0</DocSecurity>
  <Lines>128</Lines>
  <Paragraphs>36</Paragraphs>
  <ScaleCrop>false</ScaleCrop>
  <Company/>
  <LinksUpToDate>false</LinksUpToDate>
  <CharactersWithSpaces>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Yang</dc:creator>
  <cp:keywords/>
  <cp:lastModifiedBy>Rishav jhaveri</cp:lastModifiedBy>
  <cp:revision>2</cp:revision>
  <dcterms:created xsi:type="dcterms:W3CDTF">2024-12-11T03:48:00Z</dcterms:created>
  <dcterms:modified xsi:type="dcterms:W3CDTF">2024-12-11T03:48:00Z</dcterms:modified>
</cp:coreProperties>
</file>