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28EDB" w14:textId="77777777" w:rsidR="00BC5357" w:rsidRDefault="00BC5357">
      <w:pPr>
        <w:pStyle w:val="BodyText"/>
        <w:rPr>
          <w:sz w:val="20"/>
        </w:rPr>
      </w:pPr>
    </w:p>
    <w:p w14:paraId="0F3F1F02" w14:textId="77777777" w:rsidR="00BC5357" w:rsidRDefault="00BC5357">
      <w:pPr>
        <w:pStyle w:val="BodyText"/>
        <w:spacing w:before="63"/>
        <w:rPr>
          <w:sz w:val="20"/>
        </w:rPr>
      </w:pPr>
    </w:p>
    <w:p w14:paraId="03955317" w14:textId="77777777" w:rsidR="00BC5357" w:rsidRDefault="00000000">
      <w:pPr>
        <w:pStyle w:val="BodyText"/>
        <w:ind w:left="3211"/>
        <w:rPr>
          <w:sz w:val="20"/>
        </w:rPr>
      </w:pPr>
      <w:r>
        <w:rPr>
          <w:noProof/>
          <w:sz w:val="20"/>
        </w:rPr>
        <w:drawing>
          <wp:inline distT="0" distB="0" distL="0" distR="0" wp14:anchorId="739A8056" wp14:editId="093A59DB">
            <wp:extent cx="1865365" cy="6400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865365" cy="640079"/>
                    </a:xfrm>
                    <a:prstGeom prst="rect">
                      <a:avLst/>
                    </a:prstGeom>
                  </pic:spPr>
                </pic:pic>
              </a:graphicData>
            </a:graphic>
          </wp:inline>
        </w:drawing>
      </w:r>
    </w:p>
    <w:p w14:paraId="12A15826" w14:textId="77777777" w:rsidR="00BC5357" w:rsidRDefault="00000000">
      <w:pPr>
        <w:pStyle w:val="BodyText"/>
        <w:spacing w:before="58"/>
        <w:rPr>
          <w:sz w:val="20"/>
        </w:rPr>
      </w:pPr>
      <w:r>
        <w:rPr>
          <w:noProof/>
          <w:sz w:val="20"/>
        </w:rPr>
        <w:drawing>
          <wp:anchor distT="0" distB="0" distL="0" distR="0" simplePos="0" relativeHeight="487587840" behindDoc="1" locked="0" layoutInCell="1" allowOverlap="1" wp14:anchorId="1E95EEB8" wp14:editId="78F3B93F">
            <wp:simplePos x="0" y="0"/>
            <wp:positionH relativeFrom="page">
              <wp:posOffset>914400</wp:posOffset>
            </wp:positionH>
            <wp:positionV relativeFrom="paragraph">
              <wp:posOffset>198120</wp:posOffset>
            </wp:positionV>
            <wp:extent cx="5919215" cy="6705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919215" cy="67055"/>
                    </a:xfrm>
                    <a:prstGeom prst="rect">
                      <a:avLst/>
                    </a:prstGeom>
                  </pic:spPr>
                </pic:pic>
              </a:graphicData>
            </a:graphic>
          </wp:anchor>
        </w:drawing>
      </w:r>
    </w:p>
    <w:p w14:paraId="52BF6586" w14:textId="77777777" w:rsidR="00BC5357" w:rsidRDefault="00000000">
      <w:pPr>
        <w:spacing w:before="180"/>
        <w:ind w:right="358"/>
        <w:jc w:val="center"/>
        <w:rPr>
          <w:sz w:val="32"/>
        </w:rPr>
      </w:pPr>
      <w:r>
        <w:rPr>
          <w:sz w:val="32"/>
        </w:rPr>
        <w:t>GROUP</w:t>
      </w:r>
      <w:r>
        <w:rPr>
          <w:spacing w:val="-1"/>
          <w:sz w:val="32"/>
        </w:rPr>
        <w:t xml:space="preserve"> </w:t>
      </w:r>
      <w:r>
        <w:rPr>
          <w:spacing w:val="-2"/>
          <w:sz w:val="32"/>
        </w:rPr>
        <w:t>ASSIGNMENT</w:t>
      </w:r>
    </w:p>
    <w:p w14:paraId="13A6969B" w14:textId="77777777" w:rsidR="00BC5357" w:rsidRDefault="00BC5357">
      <w:pPr>
        <w:pStyle w:val="BodyText"/>
        <w:rPr>
          <w:sz w:val="32"/>
        </w:rPr>
      </w:pPr>
    </w:p>
    <w:p w14:paraId="78EC7260" w14:textId="77777777" w:rsidR="00BC5357" w:rsidRDefault="00BC5357">
      <w:pPr>
        <w:pStyle w:val="BodyText"/>
        <w:rPr>
          <w:sz w:val="32"/>
        </w:rPr>
      </w:pPr>
    </w:p>
    <w:p w14:paraId="21ECC450" w14:textId="77777777" w:rsidR="00BC5357" w:rsidRDefault="00BC5357">
      <w:pPr>
        <w:pStyle w:val="BodyText"/>
        <w:spacing w:before="364"/>
        <w:rPr>
          <w:sz w:val="32"/>
        </w:rPr>
      </w:pPr>
    </w:p>
    <w:p w14:paraId="1333F939" w14:textId="36EC1D33" w:rsidR="00BC5357" w:rsidRDefault="00DC76F5">
      <w:pPr>
        <w:pStyle w:val="Title"/>
      </w:pPr>
      <w:r w:rsidRPr="00DC76F5">
        <w:t>Tiffany &amp; Co.: The LVMH Proposal</w:t>
      </w:r>
    </w:p>
    <w:p w14:paraId="4BECB01C" w14:textId="77777777" w:rsidR="00BC5357" w:rsidRDefault="00BC5357">
      <w:pPr>
        <w:pStyle w:val="BodyText"/>
        <w:rPr>
          <w:b/>
          <w:sz w:val="32"/>
        </w:rPr>
      </w:pPr>
    </w:p>
    <w:p w14:paraId="522D090C" w14:textId="77777777" w:rsidR="00BC5357" w:rsidRDefault="00BC5357">
      <w:pPr>
        <w:pStyle w:val="BodyText"/>
        <w:rPr>
          <w:b/>
          <w:sz w:val="32"/>
        </w:rPr>
      </w:pPr>
    </w:p>
    <w:p w14:paraId="24C0FA43" w14:textId="77777777" w:rsidR="00BC5357" w:rsidRDefault="00BC5357">
      <w:pPr>
        <w:pStyle w:val="BodyText"/>
        <w:spacing w:before="21"/>
        <w:rPr>
          <w:b/>
          <w:sz w:val="32"/>
        </w:rPr>
      </w:pPr>
    </w:p>
    <w:p w14:paraId="43FFFA4B" w14:textId="77777777" w:rsidR="00C4284C" w:rsidRDefault="00000000">
      <w:pPr>
        <w:spacing w:line="360" w:lineRule="auto"/>
        <w:ind w:left="3362" w:right="3718" w:firstLine="5"/>
        <w:jc w:val="center"/>
        <w:rPr>
          <w:sz w:val="28"/>
        </w:rPr>
      </w:pPr>
      <w:r>
        <w:rPr>
          <w:sz w:val="28"/>
        </w:rPr>
        <w:t xml:space="preserve">Nitin Narayanaswamy </w:t>
      </w:r>
      <w:r w:rsidR="00C4284C">
        <w:rPr>
          <w:sz w:val="28"/>
        </w:rPr>
        <w:t>Rishav Jhaveri</w:t>
      </w:r>
      <w:r>
        <w:rPr>
          <w:sz w:val="28"/>
        </w:rPr>
        <w:t xml:space="preserve"> </w:t>
      </w:r>
    </w:p>
    <w:p w14:paraId="2E4802F1" w14:textId="271EAA43" w:rsidR="00BC5357" w:rsidRDefault="00C4284C" w:rsidP="00C4284C">
      <w:pPr>
        <w:spacing w:line="360" w:lineRule="auto"/>
        <w:ind w:left="3362" w:right="3718" w:firstLine="5"/>
        <w:jc w:val="center"/>
        <w:rPr>
          <w:sz w:val="28"/>
        </w:rPr>
        <w:sectPr w:rsidR="00BC5357">
          <w:headerReference w:type="default" r:id="rId9"/>
          <w:footerReference w:type="default" r:id="rId10"/>
          <w:type w:val="continuous"/>
          <w:pgSz w:w="12240" w:h="15840"/>
          <w:pgMar w:top="1340" w:right="1080" w:bottom="1300" w:left="1440" w:header="720" w:footer="1111"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sz w:val="28"/>
        </w:rPr>
        <w:t>Yash Mahavir Khanter</w:t>
      </w:r>
    </w:p>
    <w:sdt>
      <w:sdtPr>
        <w:id w:val="-717509337"/>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1A759FEF" w14:textId="5D78493B" w:rsidR="009E44BC" w:rsidRDefault="009E44BC">
          <w:pPr>
            <w:pStyle w:val="TOCHeading"/>
          </w:pPr>
          <w:r>
            <w:t>Contents</w:t>
          </w:r>
        </w:p>
        <w:p w14:paraId="1E3C2D14" w14:textId="26830CCD" w:rsidR="009E44BC" w:rsidRDefault="009E44BC">
          <w:pPr>
            <w:pStyle w:val="TOC1"/>
            <w:tabs>
              <w:tab w:val="right" w:leader="dot" w:pos="97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12896377" w:history="1">
            <w:r w:rsidRPr="00B33EE1">
              <w:rPr>
                <w:rStyle w:val="Hyperlink"/>
                <w:noProof/>
              </w:rPr>
              <w:t>Executive Summary</w:t>
            </w:r>
            <w:r>
              <w:rPr>
                <w:noProof/>
                <w:webHidden/>
              </w:rPr>
              <w:tab/>
            </w:r>
            <w:r>
              <w:rPr>
                <w:noProof/>
                <w:webHidden/>
              </w:rPr>
              <w:fldChar w:fldCharType="begin"/>
            </w:r>
            <w:r>
              <w:rPr>
                <w:noProof/>
                <w:webHidden/>
              </w:rPr>
              <w:instrText xml:space="preserve"> PAGEREF _Toc212896377 \h </w:instrText>
            </w:r>
            <w:r>
              <w:rPr>
                <w:noProof/>
                <w:webHidden/>
              </w:rPr>
            </w:r>
            <w:r>
              <w:rPr>
                <w:noProof/>
                <w:webHidden/>
              </w:rPr>
              <w:fldChar w:fldCharType="separate"/>
            </w:r>
            <w:r>
              <w:rPr>
                <w:noProof/>
                <w:webHidden/>
              </w:rPr>
              <w:t>3</w:t>
            </w:r>
            <w:r>
              <w:rPr>
                <w:noProof/>
                <w:webHidden/>
              </w:rPr>
              <w:fldChar w:fldCharType="end"/>
            </w:r>
          </w:hyperlink>
        </w:p>
        <w:p w14:paraId="059A0A06" w14:textId="5FBE62BD" w:rsidR="009E44BC" w:rsidRDefault="009E44BC">
          <w:pPr>
            <w:pStyle w:val="TOC1"/>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12896378" w:history="1">
            <w:r w:rsidRPr="00B33EE1">
              <w:rPr>
                <w:rStyle w:val="Hyperlink"/>
                <w:noProof/>
              </w:rPr>
              <w:t>Strategic Analysis: Advantages and Disadvantages of the Merger</w:t>
            </w:r>
            <w:r>
              <w:rPr>
                <w:noProof/>
                <w:webHidden/>
              </w:rPr>
              <w:tab/>
            </w:r>
            <w:r>
              <w:rPr>
                <w:noProof/>
                <w:webHidden/>
              </w:rPr>
              <w:fldChar w:fldCharType="begin"/>
            </w:r>
            <w:r>
              <w:rPr>
                <w:noProof/>
                <w:webHidden/>
              </w:rPr>
              <w:instrText xml:space="preserve"> PAGEREF _Toc212896378 \h </w:instrText>
            </w:r>
            <w:r>
              <w:rPr>
                <w:noProof/>
                <w:webHidden/>
              </w:rPr>
            </w:r>
            <w:r>
              <w:rPr>
                <w:noProof/>
                <w:webHidden/>
              </w:rPr>
              <w:fldChar w:fldCharType="separate"/>
            </w:r>
            <w:r>
              <w:rPr>
                <w:noProof/>
                <w:webHidden/>
              </w:rPr>
              <w:t>4</w:t>
            </w:r>
            <w:r>
              <w:rPr>
                <w:noProof/>
                <w:webHidden/>
              </w:rPr>
              <w:fldChar w:fldCharType="end"/>
            </w:r>
          </w:hyperlink>
        </w:p>
        <w:p w14:paraId="017F2CAD" w14:textId="6DEDB41E" w:rsidR="009E44BC" w:rsidRDefault="009E44BC">
          <w:pPr>
            <w:pStyle w:val="TOC1"/>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12896379" w:history="1">
            <w:r w:rsidRPr="00B33EE1">
              <w:rPr>
                <w:rStyle w:val="Hyperlink"/>
                <w:noProof/>
              </w:rPr>
              <w:t>Valuation Analysis</w:t>
            </w:r>
            <w:r>
              <w:rPr>
                <w:noProof/>
                <w:webHidden/>
              </w:rPr>
              <w:tab/>
            </w:r>
            <w:r>
              <w:rPr>
                <w:noProof/>
                <w:webHidden/>
              </w:rPr>
              <w:fldChar w:fldCharType="begin"/>
            </w:r>
            <w:r>
              <w:rPr>
                <w:noProof/>
                <w:webHidden/>
              </w:rPr>
              <w:instrText xml:space="preserve"> PAGEREF _Toc212896379 \h </w:instrText>
            </w:r>
            <w:r>
              <w:rPr>
                <w:noProof/>
                <w:webHidden/>
              </w:rPr>
            </w:r>
            <w:r>
              <w:rPr>
                <w:noProof/>
                <w:webHidden/>
              </w:rPr>
              <w:fldChar w:fldCharType="separate"/>
            </w:r>
            <w:r>
              <w:rPr>
                <w:noProof/>
                <w:webHidden/>
              </w:rPr>
              <w:t>7</w:t>
            </w:r>
            <w:r>
              <w:rPr>
                <w:noProof/>
                <w:webHidden/>
              </w:rPr>
              <w:fldChar w:fldCharType="end"/>
            </w:r>
          </w:hyperlink>
        </w:p>
        <w:p w14:paraId="06E18792" w14:textId="2264B2DA" w:rsidR="009E44BC" w:rsidRDefault="009E44BC">
          <w:pPr>
            <w:pStyle w:val="TOC1"/>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12896380" w:history="1">
            <w:r w:rsidRPr="00B33EE1">
              <w:rPr>
                <w:rStyle w:val="Hyperlink"/>
                <w:noProof/>
              </w:rPr>
              <w:t>Key Value Drivers</w:t>
            </w:r>
            <w:r>
              <w:rPr>
                <w:noProof/>
                <w:webHidden/>
              </w:rPr>
              <w:tab/>
            </w:r>
            <w:r>
              <w:rPr>
                <w:noProof/>
                <w:webHidden/>
              </w:rPr>
              <w:fldChar w:fldCharType="begin"/>
            </w:r>
            <w:r>
              <w:rPr>
                <w:noProof/>
                <w:webHidden/>
              </w:rPr>
              <w:instrText xml:space="preserve"> PAGEREF _Toc212896380 \h </w:instrText>
            </w:r>
            <w:r>
              <w:rPr>
                <w:noProof/>
                <w:webHidden/>
              </w:rPr>
            </w:r>
            <w:r>
              <w:rPr>
                <w:noProof/>
                <w:webHidden/>
              </w:rPr>
              <w:fldChar w:fldCharType="separate"/>
            </w:r>
            <w:r>
              <w:rPr>
                <w:noProof/>
                <w:webHidden/>
              </w:rPr>
              <w:t>9</w:t>
            </w:r>
            <w:r>
              <w:rPr>
                <w:noProof/>
                <w:webHidden/>
              </w:rPr>
              <w:fldChar w:fldCharType="end"/>
            </w:r>
          </w:hyperlink>
        </w:p>
        <w:p w14:paraId="151AB1A7" w14:textId="5D461DB3" w:rsidR="009E44BC" w:rsidRDefault="009E44BC">
          <w:pPr>
            <w:pStyle w:val="TOC1"/>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12896381" w:history="1">
            <w:r w:rsidRPr="00B33EE1">
              <w:rPr>
                <w:rStyle w:val="Hyperlink"/>
                <w:noProof/>
              </w:rPr>
              <w:t>Negotiation Strategy and Recommendations</w:t>
            </w:r>
            <w:r>
              <w:rPr>
                <w:noProof/>
                <w:webHidden/>
              </w:rPr>
              <w:tab/>
            </w:r>
            <w:r>
              <w:rPr>
                <w:noProof/>
                <w:webHidden/>
              </w:rPr>
              <w:fldChar w:fldCharType="begin"/>
            </w:r>
            <w:r>
              <w:rPr>
                <w:noProof/>
                <w:webHidden/>
              </w:rPr>
              <w:instrText xml:space="preserve"> PAGEREF _Toc212896381 \h </w:instrText>
            </w:r>
            <w:r>
              <w:rPr>
                <w:noProof/>
                <w:webHidden/>
              </w:rPr>
            </w:r>
            <w:r>
              <w:rPr>
                <w:noProof/>
                <w:webHidden/>
              </w:rPr>
              <w:fldChar w:fldCharType="separate"/>
            </w:r>
            <w:r>
              <w:rPr>
                <w:noProof/>
                <w:webHidden/>
              </w:rPr>
              <w:t>10</w:t>
            </w:r>
            <w:r>
              <w:rPr>
                <w:noProof/>
                <w:webHidden/>
              </w:rPr>
              <w:fldChar w:fldCharType="end"/>
            </w:r>
          </w:hyperlink>
        </w:p>
        <w:p w14:paraId="3C1E08D5" w14:textId="7E47BACF" w:rsidR="009E44BC" w:rsidRDefault="009E44BC">
          <w:pPr>
            <w:pStyle w:val="TOC1"/>
            <w:tabs>
              <w:tab w:val="right" w:leader="dot" w:pos="9710"/>
            </w:tabs>
            <w:rPr>
              <w:rFonts w:asciiTheme="minorHAnsi" w:eastAsiaTheme="minorEastAsia" w:hAnsiTheme="minorHAnsi" w:cstheme="minorBidi"/>
              <w:noProof/>
              <w:kern w:val="2"/>
              <w:sz w:val="24"/>
              <w:szCs w:val="24"/>
              <w:lang w:val="en-IN" w:eastAsia="en-IN"/>
              <w14:ligatures w14:val="standardContextual"/>
            </w:rPr>
          </w:pPr>
          <w:hyperlink w:anchor="_Toc212896382" w:history="1">
            <w:r w:rsidRPr="00B33EE1">
              <w:rPr>
                <w:rStyle w:val="Hyperlink"/>
                <w:noProof/>
              </w:rPr>
              <w:t>Conclusion</w:t>
            </w:r>
            <w:r>
              <w:rPr>
                <w:noProof/>
                <w:webHidden/>
              </w:rPr>
              <w:tab/>
            </w:r>
            <w:r>
              <w:rPr>
                <w:noProof/>
                <w:webHidden/>
              </w:rPr>
              <w:fldChar w:fldCharType="begin"/>
            </w:r>
            <w:r>
              <w:rPr>
                <w:noProof/>
                <w:webHidden/>
              </w:rPr>
              <w:instrText xml:space="preserve"> PAGEREF _Toc212896382 \h </w:instrText>
            </w:r>
            <w:r>
              <w:rPr>
                <w:noProof/>
                <w:webHidden/>
              </w:rPr>
            </w:r>
            <w:r>
              <w:rPr>
                <w:noProof/>
                <w:webHidden/>
              </w:rPr>
              <w:fldChar w:fldCharType="separate"/>
            </w:r>
            <w:r>
              <w:rPr>
                <w:noProof/>
                <w:webHidden/>
              </w:rPr>
              <w:t>11</w:t>
            </w:r>
            <w:r>
              <w:rPr>
                <w:noProof/>
                <w:webHidden/>
              </w:rPr>
              <w:fldChar w:fldCharType="end"/>
            </w:r>
          </w:hyperlink>
        </w:p>
        <w:p w14:paraId="2D854B59" w14:textId="67459534" w:rsidR="009E44BC" w:rsidRDefault="009E44BC">
          <w:r>
            <w:rPr>
              <w:b/>
              <w:bCs/>
              <w:noProof/>
            </w:rPr>
            <w:fldChar w:fldCharType="end"/>
          </w:r>
        </w:p>
      </w:sdtContent>
    </w:sdt>
    <w:p w14:paraId="5275E829" w14:textId="77777777" w:rsidR="00BC5357" w:rsidRDefault="00BC5357" w:rsidP="00DC76F5">
      <w:pPr>
        <w:pStyle w:val="TOC1"/>
        <w:ind w:left="0"/>
        <w:sectPr w:rsidR="00BC5357">
          <w:pgSz w:w="12240" w:h="15840"/>
          <w:pgMar w:top="1340" w:right="1080" w:bottom="1300" w:left="1440" w:header="720" w:footer="1111" w:gutter="0"/>
          <w:pgBorders w:offsetFrom="page">
            <w:top w:val="single" w:sz="4" w:space="24" w:color="000000"/>
            <w:left w:val="single" w:sz="4" w:space="24" w:color="000000"/>
            <w:bottom w:val="single" w:sz="4" w:space="24" w:color="000000"/>
            <w:right w:val="single" w:sz="4" w:space="24" w:color="000000"/>
          </w:pgBorders>
          <w:cols w:space="720"/>
        </w:sectPr>
      </w:pPr>
    </w:p>
    <w:p w14:paraId="10585A98" w14:textId="1203F169" w:rsidR="00BC5357" w:rsidRPr="00EF6A62" w:rsidRDefault="001B1DE1">
      <w:pPr>
        <w:pStyle w:val="Heading1"/>
        <w:ind w:right="358"/>
        <w:rPr>
          <w:sz w:val="32"/>
          <w:szCs w:val="32"/>
        </w:rPr>
      </w:pPr>
      <w:bookmarkStart w:id="0" w:name="_Toc212896377"/>
      <w:r w:rsidRPr="00EF6A62">
        <w:rPr>
          <w:sz w:val="32"/>
          <w:szCs w:val="32"/>
        </w:rPr>
        <w:lastRenderedPageBreak/>
        <w:t>Executive Summary</w:t>
      </w:r>
      <w:bookmarkEnd w:id="0"/>
    </w:p>
    <w:p w14:paraId="1D52F24E" w14:textId="77777777" w:rsidR="001B1DE1" w:rsidRPr="001B1DE1" w:rsidRDefault="001B1DE1" w:rsidP="001B1DE1">
      <w:pPr>
        <w:pStyle w:val="BodyText"/>
        <w:spacing w:before="237"/>
        <w:ind w:right="359"/>
        <w:jc w:val="both"/>
        <w:rPr>
          <w:lang w:val="en-IN"/>
        </w:rPr>
      </w:pPr>
      <w:r w:rsidRPr="001B1DE1">
        <w:rPr>
          <w:lang w:val="en-IN"/>
        </w:rPr>
        <w:t>Tiffany &amp; Co.'s Board of Directors faces a pivotal decision regarding LVMH's potential acquisition proposal. After conducting a comprehensive valuation analysis using multiple methodologies, we recommend that the Board enter negotiations with LVMH while maintaining a strong negotiating position to maximize shareholder value.</w:t>
      </w:r>
    </w:p>
    <w:p w14:paraId="12265216" w14:textId="77777777" w:rsidR="001B1DE1" w:rsidRPr="001B1DE1" w:rsidRDefault="001B1DE1" w:rsidP="001B1DE1">
      <w:pPr>
        <w:pStyle w:val="BodyText"/>
        <w:spacing w:before="237"/>
        <w:ind w:right="359"/>
        <w:jc w:val="both"/>
        <w:rPr>
          <w:lang w:val="en-IN"/>
        </w:rPr>
      </w:pPr>
      <w:r w:rsidRPr="001B1DE1">
        <w:rPr>
          <w:lang w:val="en-IN"/>
        </w:rPr>
        <w:t>Our discounted cash flow analysis indicates that Tiffany's intrinsic stand-alone value is $105.23 per share, based on conservative assumptions including a 7.11% weighted average cost of capital and a 2.5% terminal growth rate. This valuation represents a 15% premium to the current stock price of $91.58, which has fallen 35% from its 52-week high of $140 due to temporary headwinds including US-China trade tensions, Hong Kong protests, and a strong dollar impacting tourist spending.</w:t>
      </w:r>
    </w:p>
    <w:p w14:paraId="1C4ED694" w14:textId="4C70CDDC" w:rsidR="001B1DE1" w:rsidRPr="001B1DE1" w:rsidRDefault="001B1DE1" w:rsidP="001B1DE1">
      <w:pPr>
        <w:pStyle w:val="BodyText"/>
        <w:spacing w:before="237"/>
        <w:ind w:right="359"/>
        <w:jc w:val="both"/>
        <w:rPr>
          <w:lang w:val="en-IN"/>
        </w:rPr>
      </w:pPr>
      <w:r w:rsidRPr="001B1DE1">
        <w:rPr>
          <w:lang w:val="en-IN"/>
        </w:rPr>
        <w:t xml:space="preserve">When we expand our analysis to include comparable company and precedent transaction methodologies, the weighted average valuation across all approaches yields $106.95 per share. The valuation range spans from a conservative $72 per share in pessimistic scenarios to an optimistic $217 per share under </w:t>
      </w:r>
      <w:r w:rsidR="00581ACA" w:rsidRPr="001B1DE1">
        <w:rPr>
          <w:lang w:val="en-IN"/>
        </w:rPr>
        <w:t>favourable</w:t>
      </w:r>
      <w:r w:rsidRPr="001B1DE1">
        <w:rPr>
          <w:lang w:val="en-IN"/>
        </w:rPr>
        <w:t xml:space="preserve"> assumptions. Notably, the 2011 Bulgari acquisition, where LVMH paid 29 times EBIT and a 60% premium to market price, provides a strong precedent that would support a valuation of approximately $175 per share for Tiffany.</w:t>
      </w:r>
    </w:p>
    <w:p w14:paraId="178AA3AA" w14:textId="77777777" w:rsidR="001B1DE1" w:rsidRPr="001B1DE1" w:rsidRDefault="001B1DE1" w:rsidP="001B1DE1">
      <w:pPr>
        <w:pStyle w:val="BodyText"/>
        <w:spacing w:before="237"/>
        <w:ind w:right="359"/>
        <w:jc w:val="both"/>
        <w:rPr>
          <w:lang w:val="en-IN"/>
        </w:rPr>
      </w:pPr>
      <w:r w:rsidRPr="001B1DE1">
        <w:rPr>
          <w:lang w:val="en-IN"/>
        </w:rPr>
        <w:t>From a strategic perspective, this merger presents compelling logic for both parties, though the benefits appear more critical for LVMH. For Tiffany, the acquisition would provide access to LVMH's unparalleled global distribution network, particularly in Europe where Tiffany currently generates only 11% of its revenue compared to 45% from the Americas. The company would benefit from operational synergies including gross margin improvements of 5% in Europe and 4% in other regions, enhanced working capital efficiency, and the financial strength to accelerate its turnaround plan without capital constraints.</w:t>
      </w:r>
    </w:p>
    <w:p w14:paraId="100BCBBC" w14:textId="6DDD58B9" w:rsidR="001B1DE1" w:rsidRDefault="001B1DE1" w:rsidP="001B1DE1">
      <w:pPr>
        <w:pStyle w:val="BodyText"/>
        <w:spacing w:before="237"/>
        <w:ind w:right="359"/>
        <w:jc w:val="both"/>
        <w:rPr>
          <w:lang w:val="en-IN"/>
        </w:rPr>
      </w:pPr>
      <w:r w:rsidRPr="001B1DE1">
        <w:rPr>
          <w:lang w:val="en-IN"/>
        </w:rPr>
        <w:t xml:space="preserve">For LVMH, acquiring Tiffany would double its watches and </w:t>
      </w:r>
      <w:r w:rsidR="006A328B" w:rsidRPr="001B1DE1">
        <w:rPr>
          <w:lang w:val="en-IN"/>
        </w:rPr>
        <w:t>jewellery</w:t>
      </w:r>
      <w:r w:rsidRPr="001B1DE1">
        <w:rPr>
          <w:lang w:val="en-IN"/>
        </w:rPr>
        <w:t xml:space="preserve"> segment from 9% to approximately 18% of total revenue, finally providing the scale needed to compete effectively with Richemont, which currently leads the hard luxury market with an 18.2% share. More importantly, LVMH would acquire the most iconic American luxury brand with 182 years of heritage, instant access to 11% global </w:t>
      </w:r>
      <w:r w:rsidR="00B84BE4" w:rsidRPr="001B1DE1">
        <w:rPr>
          <w:lang w:val="en-IN"/>
        </w:rPr>
        <w:t>jewellery</w:t>
      </w:r>
      <w:r w:rsidRPr="001B1DE1">
        <w:rPr>
          <w:lang w:val="en-IN"/>
        </w:rPr>
        <w:t xml:space="preserve"> market share, and 321 prime retail locations worldwide. The strategic imperative for LVMH is clear: Tiffany represents perhaps the last opportunity to acquire a major independent luxury </w:t>
      </w:r>
      <w:r w:rsidR="00B84BE4" w:rsidRPr="001B1DE1">
        <w:rPr>
          <w:lang w:val="en-IN"/>
        </w:rPr>
        <w:t>jeweller</w:t>
      </w:r>
      <w:r w:rsidRPr="001B1DE1">
        <w:rPr>
          <w:lang w:val="en-IN"/>
        </w:rPr>
        <w:t xml:space="preserve"> with global brand recognition.</w:t>
      </w:r>
    </w:p>
    <w:p w14:paraId="1C61DDA7" w14:textId="678B041A" w:rsidR="00267931" w:rsidRDefault="001B1DE1" w:rsidP="001B1DE1">
      <w:pPr>
        <w:pStyle w:val="BodyText"/>
        <w:spacing w:before="237"/>
        <w:ind w:right="359"/>
        <w:jc w:val="both"/>
        <w:rPr>
          <w:lang w:val="en-IN"/>
        </w:rPr>
      </w:pPr>
      <w:r w:rsidRPr="001B1DE1">
        <w:rPr>
          <w:lang w:val="en-IN"/>
        </w:rPr>
        <w:t>Given this asymmetry in strategic benefits and Tiffany's current valuation discount, we recommend the Board adopt an aggressive negotiation stance. We suggest demanding a minimum acceptable price of $12</w:t>
      </w:r>
      <w:r w:rsidR="000D1A4B">
        <w:rPr>
          <w:lang w:val="en-IN"/>
        </w:rPr>
        <w:t>5</w:t>
      </w:r>
      <w:r w:rsidRPr="001B1DE1">
        <w:rPr>
          <w:lang w:val="en-IN"/>
        </w:rPr>
        <w:t xml:space="preserve"> per share, representing a </w:t>
      </w:r>
      <w:r w:rsidR="00757D57">
        <w:rPr>
          <w:lang w:val="en-IN"/>
        </w:rPr>
        <w:t>3</w:t>
      </w:r>
      <w:r w:rsidR="00AC7CA1">
        <w:rPr>
          <w:lang w:val="en-IN"/>
        </w:rPr>
        <w:t>5</w:t>
      </w:r>
      <w:r w:rsidRPr="001B1DE1">
        <w:rPr>
          <w:lang w:val="en-IN"/>
        </w:rPr>
        <w:t>% premium to current trading levels. Our target settlement range is $135 to $140 per share, which would represent a 47% to 53% premium and properly compensate shareholders for both Tiffany's intrinsic value and the substantial synergies LVMH would realize. The Board should open negotiations at $150 per share to establish a strong anchor point and should be prepared to walk away if LVMH offers less than $1</w:t>
      </w:r>
      <w:r w:rsidR="00412FF7">
        <w:rPr>
          <w:lang w:val="en-IN"/>
        </w:rPr>
        <w:t>2</w:t>
      </w:r>
      <w:r w:rsidRPr="001B1DE1">
        <w:rPr>
          <w:lang w:val="en-IN"/>
        </w:rPr>
        <w:t>5 per share.</w:t>
      </w:r>
    </w:p>
    <w:p w14:paraId="49F43003" w14:textId="77777777" w:rsidR="002661F8" w:rsidRDefault="002661F8" w:rsidP="001B1DE1">
      <w:pPr>
        <w:pStyle w:val="BodyText"/>
        <w:spacing w:before="237"/>
        <w:ind w:right="359"/>
        <w:jc w:val="both"/>
        <w:rPr>
          <w:lang w:val="en-IN"/>
        </w:rPr>
      </w:pPr>
    </w:p>
    <w:p w14:paraId="122314DE" w14:textId="77777777" w:rsidR="002661F8" w:rsidRDefault="002661F8" w:rsidP="001B1DE1">
      <w:pPr>
        <w:pStyle w:val="BodyText"/>
        <w:spacing w:before="237"/>
        <w:ind w:right="359"/>
        <w:jc w:val="both"/>
        <w:rPr>
          <w:lang w:val="en-IN"/>
        </w:rPr>
      </w:pPr>
    </w:p>
    <w:p w14:paraId="4D2504C4" w14:textId="37E2C818" w:rsidR="001B1DE1" w:rsidRPr="001B1DE1" w:rsidRDefault="001B1DE1" w:rsidP="001B1DE1">
      <w:pPr>
        <w:pStyle w:val="BodyText"/>
        <w:spacing w:before="237"/>
        <w:ind w:right="359"/>
        <w:jc w:val="both"/>
        <w:rPr>
          <w:lang w:val="en-IN"/>
        </w:rPr>
      </w:pPr>
      <w:r w:rsidRPr="001B1DE1">
        <w:rPr>
          <w:lang w:val="en-IN"/>
        </w:rPr>
        <w:lastRenderedPageBreak/>
        <w:t xml:space="preserve">To maximize leverage, the Board should insist on a 45-day go-shop period to explore competing offers from potential bidders including Richemont, which may act defensively to maintain its market leadership; Kering, which seeks to expand its </w:t>
      </w:r>
      <w:r w:rsidR="00581ACA" w:rsidRPr="001B1DE1">
        <w:rPr>
          <w:lang w:val="en-IN"/>
        </w:rPr>
        <w:t>jewellery</w:t>
      </w:r>
      <w:r w:rsidRPr="001B1DE1">
        <w:rPr>
          <w:lang w:val="en-IN"/>
        </w:rPr>
        <w:t xml:space="preserve"> presence; or financial buyers like Berkshire Hathaway, which could offer greater operational independence. Any transaction should be structured as an all-cash deal to provide certainty of value, with appropriate protections including a 3-4% breakup fee and contractual guarantees preserving Tiffany's brand autonomy and heritage.</w:t>
      </w:r>
    </w:p>
    <w:p w14:paraId="5ABD6667" w14:textId="29ED9753" w:rsidR="00267931" w:rsidRDefault="001B1DE1" w:rsidP="00296D58">
      <w:pPr>
        <w:pStyle w:val="BodyText"/>
        <w:spacing w:before="237" w:after="240"/>
        <w:ind w:right="359"/>
        <w:jc w:val="both"/>
      </w:pPr>
      <w:r w:rsidRPr="001B1DE1">
        <w:t>The current market environment creates a unique window where Tiffany's temporary challenges provide LVMH with an opportunistic entry point, while Tiffany's improving fundamentals and scarcity value as the last major independent American luxury jeweler justify a substantial premium. Time is of the essence, as continued execution of Tiffany's turnaround plan and normalization of market conditions will only strengthen the company's negotiating position. With careful execution, the Board can achieve a transaction that maximizes shareholder value while ensuring the preservation and enhancement of one of America's most iconic luxury brands.</w:t>
      </w:r>
    </w:p>
    <w:p w14:paraId="00B26DF7" w14:textId="3E8CF2E6" w:rsidR="00267931" w:rsidRDefault="00267931" w:rsidP="00267931">
      <w:pPr>
        <w:pStyle w:val="Heading1"/>
        <w:ind w:right="358"/>
        <w:rPr>
          <w:sz w:val="32"/>
          <w:szCs w:val="32"/>
        </w:rPr>
      </w:pPr>
      <w:bookmarkStart w:id="1" w:name="_Toc212896378"/>
      <w:r w:rsidRPr="00EF6A62">
        <w:rPr>
          <w:sz w:val="32"/>
          <w:szCs w:val="32"/>
        </w:rPr>
        <w:t>Strategic Analysis: Advantages and Disadvantages of the Merger</w:t>
      </w:r>
      <w:bookmarkEnd w:id="1"/>
    </w:p>
    <w:p w14:paraId="679376CC" w14:textId="77777777" w:rsidR="002661F8" w:rsidRPr="00EF6A62" w:rsidRDefault="002661F8" w:rsidP="00267931">
      <w:pPr>
        <w:pStyle w:val="Heading1"/>
        <w:ind w:right="358"/>
        <w:rPr>
          <w:sz w:val="32"/>
          <w:szCs w:val="32"/>
        </w:rPr>
      </w:pPr>
    </w:p>
    <w:p w14:paraId="5D79186F" w14:textId="399727F5" w:rsidR="002661F8" w:rsidRPr="002661F8" w:rsidRDefault="002661F8" w:rsidP="002661F8">
      <w:pPr>
        <w:pStyle w:val="BodyText"/>
        <w:spacing w:before="237"/>
        <w:ind w:right="359"/>
        <w:jc w:val="both"/>
        <w:rPr>
          <w:lang w:val="en-IN"/>
        </w:rPr>
      </w:pPr>
      <w:r w:rsidRPr="002661F8">
        <w:rPr>
          <w:lang w:val="en-IN"/>
        </w:rPr>
        <w:drawing>
          <wp:inline distT="0" distB="0" distL="0" distR="0" wp14:anchorId="4644EE5C" wp14:editId="7E2F8CB9">
            <wp:extent cx="6400800" cy="2909570"/>
            <wp:effectExtent l="0" t="0" r="0" b="5080"/>
            <wp:docPr id="1034196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2909570"/>
                    </a:xfrm>
                    <a:prstGeom prst="rect">
                      <a:avLst/>
                    </a:prstGeom>
                    <a:noFill/>
                    <a:ln>
                      <a:noFill/>
                    </a:ln>
                  </pic:spPr>
                </pic:pic>
              </a:graphicData>
            </a:graphic>
          </wp:inline>
        </w:drawing>
      </w:r>
    </w:p>
    <w:p w14:paraId="5CC98A76" w14:textId="77777777" w:rsidR="002661F8" w:rsidRDefault="002661F8">
      <w:pPr>
        <w:pStyle w:val="BodyText"/>
        <w:spacing w:before="237"/>
        <w:ind w:right="359"/>
        <w:jc w:val="both"/>
      </w:pPr>
    </w:p>
    <w:p w14:paraId="58A5BD90" w14:textId="66E43B73" w:rsidR="00267931" w:rsidRDefault="00267931">
      <w:pPr>
        <w:pStyle w:val="BodyText"/>
        <w:spacing w:before="237"/>
        <w:ind w:right="359"/>
        <w:jc w:val="both"/>
      </w:pPr>
      <w:r w:rsidRPr="00267931">
        <w:t>The proposed acquisition of Tiffany &amp; Co. by LVMH represents a transformative opportunity for both companies in the global luxury goods market. While the strategic rationale is compelling, the merger presents both significant benefits and notable risks that must be carefully evaluated. Our analysis reveals asymmetric advantages favoring LVMH, which supports Tiffany's position to negotiate aggressively for a substantial premium.</w:t>
      </w:r>
    </w:p>
    <w:p w14:paraId="2870CD6C" w14:textId="77777777" w:rsidR="002661F8" w:rsidRDefault="002661F8">
      <w:pPr>
        <w:pStyle w:val="BodyText"/>
        <w:spacing w:before="237"/>
        <w:ind w:right="359"/>
        <w:jc w:val="both"/>
        <w:rPr>
          <w:b/>
          <w:bCs/>
          <w:u w:val="single"/>
        </w:rPr>
      </w:pPr>
    </w:p>
    <w:p w14:paraId="3D85D3F7" w14:textId="77777777" w:rsidR="002661F8" w:rsidRDefault="002661F8">
      <w:pPr>
        <w:pStyle w:val="BodyText"/>
        <w:spacing w:before="237"/>
        <w:ind w:right="359"/>
        <w:jc w:val="both"/>
        <w:rPr>
          <w:b/>
          <w:bCs/>
          <w:u w:val="single"/>
        </w:rPr>
      </w:pPr>
    </w:p>
    <w:p w14:paraId="3BD3710C" w14:textId="52217BCD" w:rsidR="00267931" w:rsidRPr="00EF6A62" w:rsidRDefault="00267931">
      <w:pPr>
        <w:pStyle w:val="BodyText"/>
        <w:spacing w:before="237"/>
        <w:ind w:right="359"/>
        <w:jc w:val="both"/>
        <w:rPr>
          <w:b/>
          <w:bCs/>
          <w:u w:val="single"/>
        </w:rPr>
      </w:pPr>
      <w:r w:rsidRPr="00EF6A62">
        <w:rPr>
          <w:b/>
          <w:bCs/>
          <w:u w:val="single"/>
        </w:rPr>
        <w:lastRenderedPageBreak/>
        <w:t>Strategic Benefits and Risks Analysis</w:t>
      </w:r>
    </w:p>
    <w:p w14:paraId="646DF0A0" w14:textId="68B50B01" w:rsidR="00267931" w:rsidRDefault="00267931">
      <w:pPr>
        <w:pStyle w:val="BodyText"/>
        <w:spacing w:before="237"/>
        <w:ind w:right="359"/>
        <w:jc w:val="both"/>
      </w:pPr>
      <w:r w:rsidRPr="00267931">
        <w:t>For Tiffany &amp; 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4435"/>
        <w:gridCol w:w="3460"/>
      </w:tblGrid>
      <w:tr w:rsidR="00267931" w:rsidRPr="00267931" w14:paraId="4DA92E3F" w14:textId="77777777" w:rsidTr="00267931">
        <w:trPr>
          <w:tblHeader/>
          <w:tblCellSpacing w:w="15" w:type="dxa"/>
        </w:trPr>
        <w:tc>
          <w:tcPr>
            <w:tcW w:w="0" w:type="auto"/>
            <w:vAlign w:val="center"/>
            <w:hideMark/>
          </w:tcPr>
          <w:p w14:paraId="597E8B9A" w14:textId="77777777" w:rsidR="00267931" w:rsidRPr="00267931" w:rsidRDefault="00267931" w:rsidP="00267931">
            <w:pPr>
              <w:pStyle w:val="BodyText"/>
              <w:spacing w:before="237"/>
              <w:ind w:right="359"/>
              <w:jc w:val="both"/>
              <w:rPr>
                <w:b/>
                <w:bCs/>
                <w:lang w:val="en-IN"/>
              </w:rPr>
            </w:pPr>
            <w:r w:rsidRPr="00267931">
              <w:rPr>
                <w:b/>
                <w:bCs/>
                <w:lang w:val="en-IN"/>
              </w:rPr>
              <w:t>Advantages</w:t>
            </w:r>
          </w:p>
        </w:tc>
        <w:tc>
          <w:tcPr>
            <w:tcW w:w="0" w:type="auto"/>
            <w:vAlign w:val="center"/>
            <w:hideMark/>
          </w:tcPr>
          <w:p w14:paraId="66BE7F97" w14:textId="77777777" w:rsidR="00267931" w:rsidRPr="00267931" w:rsidRDefault="00267931" w:rsidP="00267931">
            <w:pPr>
              <w:pStyle w:val="BodyText"/>
              <w:spacing w:before="237"/>
              <w:ind w:right="359"/>
              <w:jc w:val="both"/>
              <w:rPr>
                <w:b/>
                <w:bCs/>
                <w:lang w:val="en-IN"/>
              </w:rPr>
            </w:pPr>
            <w:r w:rsidRPr="00267931">
              <w:rPr>
                <w:b/>
                <w:bCs/>
                <w:lang w:val="en-IN"/>
              </w:rPr>
              <w:t>Description</w:t>
            </w:r>
          </w:p>
        </w:tc>
        <w:tc>
          <w:tcPr>
            <w:tcW w:w="0" w:type="auto"/>
            <w:vAlign w:val="center"/>
            <w:hideMark/>
          </w:tcPr>
          <w:p w14:paraId="3531AC3B" w14:textId="77777777" w:rsidR="00267931" w:rsidRPr="00267931" w:rsidRDefault="00267931" w:rsidP="00267931">
            <w:pPr>
              <w:pStyle w:val="BodyText"/>
              <w:spacing w:before="237"/>
              <w:ind w:right="359"/>
              <w:jc w:val="both"/>
              <w:rPr>
                <w:b/>
                <w:bCs/>
                <w:lang w:val="en-IN"/>
              </w:rPr>
            </w:pPr>
            <w:r w:rsidRPr="00267931">
              <w:rPr>
                <w:b/>
                <w:bCs/>
                <w:lang w:val="en-IN"/>
              </w:rPr>
              <w:t>Impact</w:t>
            </w:r>
          </w:p>
        </w:tc>
      </w:tr>
      <w:tr w:rsidR="00267931" w:rsidRPr="00267931" w14:paraId="4A9A1E76" w14:textId="77777777" w:rsidTr="00267931">
        <w:trPr>
          <w:tblCellSpacing w:w="15" w:type="dxa"/>
        </w:trPr>
        <w:tc>
          <w:tcPr>
            <w:tcW w:w="0" w:type="auto"/>
            <w:vAlign w:val="center"/>
            <w:hideMark/>
          </w:tcPr>
          <w:p w14:paraId="6E60066B" w14:textId="77777777" w:rsidR="00267931" w:rsidRPr="00267931" w:rsidRDefault="00267931" w:rsidP="00267931">
            <w:pPr>
              <w:pStyle w:val="BodyText"/>
              <w:spacing w:before="237"/>
              <w:ind w:right="359"/>
              <w:jc w:val="both"/>
              <w:rPr>
                <w:lang w:val="en-IN"/>
              </w:rPr>
            </w:pPr>
            <w:r w:rsidRPr="00267931">
              <w:rPr>
                <w:b/>
                <w:bCs/>
                <w:lang w:val="en-IN"/>
              </w:rPr>
              <w:t>Global Distribution Access</w:t>
            </w:r>
          </w:p>
        </w:tc>
        <w:tc>
          <w:tcPr>
            <w:tcW w:w="0" w:type="auto"/>
            <w:vAlign w:val="center"/>
            <w:hideMark/>
          </w:tcPr>
          <w:p w14:paraId="74E32769" w14:textId="77777777" w:rsidR="00267931" w:rsidRPr="00267931" w:rsidRDefault="00267931" w:rsidP="00267931">
            <w:pPr>
              <w:pStyle w:val="BodyText"/>
              <w:spacing w:before="237"/>
              <w:ind w:right="359"/>
              <w:jc w:val="both"/>
              <w:rPr>
                <w:lang w:val="en-IN"/>
              </w:rPr>
            </w:pPr>
            <w:r w:rsidRPr="00267931">
              <w:rPr>
                <w:lang w:val="en-IN"/>
              </w:rPr>
              <w:t>Access to LVMH’s European network where Tiffany only has 11% revenue share vs. 45% in Americas</w:t>
            </w:r>
          </w:p>
        </w:tc>
        <w:tc>
          <w:tcPr>
            <w:tcW w:w="0" w:type="auto"/>
            <w:vAlign w:val="center"/>
            <w:hideMark/>
          </w:tcPr>
          <w:p w14:paraId="496BE0C1" w14:textId="77777777" w:rsidR="00267931" w:rsidRPr="00267931" w:rsidRDefault="00267931" w:rsidP="00267931">
            <w:pPr>
              <w:pStyle w:val="BodyText"/>
              <w:spacing w:before="237"/>
              <w:ind w:right="359"/>
              <w:jc w:val="both"/>
              <w:rPr>
                <w:lang w:val="en-IN"/>
              </w:rPr>
            </w:pPr>
            <w:r w:rsidRPr="00267931">
              <w:rPr>
                <w:lang w:val="en-IN"/>
              </w:rPr>
              <w:t>Revenue growth +12pp in Europe (2020–2022)</w:t>
            </w:r>
          </w:p>
        </w:tc>
      </w:tr>
      <w:tr w:rsidR="00267931" w:rsidRPr="00267931" w14:paraId="0F1E5601" w14:textId="77777777" w:rsidTr="00267931">
        <w:trPr>
          <w:tblCellSpacing w:w="15" w:type="dxa"/>
        </w:trPr>
        <w:tc>
          <w:tcPr>
            <w:tcW w:w="0" w:type="auto"/>
            <w:vAlign w:val="center"/>
            <w:hideMark/>
          </w:tcPr>
          <w:p w14:paraId="158F603F" w14:textId="77777777" w:rsidR="00267931" w:rsidRPr="00267931" w:rsidRDefault="00267931" w:rsidP="00267931">
            <w:pPr>
              <w:pStyle w:val="BodyText"/>
              <w:spacing w:before="237"/>
              <w:ind w:right="359"/>
              <w:jc w:val="both"/>
              <w:rPr>
                <w:lang w:val="en-IN"/>
              </w:rPr>
            </w:pPr>
            <w:r w:rsidRPr="00267931">
              <w:rPr>
                <w:b/>
                <w:bCs/>
                <w:lang w:val="en-IN"/>
              </w:rPr>
              <w:t>Financial Resources</w:t>
            </w:r>
          </w:p>
        </w:tc>
        <w:tc>
          <w:tcPr>
            <w:tcW w:w="0" w:type="auto"/>
            <w:vAlign w:val="center"/>
            <w:hideMark/>
          </w:tcPr>
          <w:p w14:paraId="386C2063" w14:textId="77777777" w:rsidR="00267931" w:rsidRPr="00267931" w:rsidRDefault="00267931" w:rsidP="00267931">
            <w:pPr>
              <w:pStyle w:val="BodyText"/>
              <w:spacing w:before="237"/>
              <w:ind w:right="359"/>
              <w:jc w:val="both"/>
              <w:rPr>
                <w:lang w:val="en-IN"/>
              </w:rPr>
            </w:pPr>
            <w:r w:rsidRPr="00267931">
              <w:rPr>
                <w:lang w:val="en-IN"/>
              </w:rPr>
              <w:t>LVMH’s A+ credit rating and €46.8B revenue base funds expansion without capital constraints</w:t>
            </w:r>
          </w:p>
        </w:tc>
        <w:tc>
          <w:tcPr>
            <w:tcW w:w="0" w:type="auto"/>
            <w:vAlign w:val="center"/>
            <w:hideMark/>
          </w:tcPr>
          <w:p w14:paraId="27234517" w14:textId="77777777" w:rsidR="00267931" w:rsidRPr="00267931" w:rsidRDefault="00267931" w:rsidP="00267931">
            <w:pPr>
              <w:pStyle w:val="BodyText"/>
              <w:spacing w:before="237"/>
              <w:ind w:right="359"/>
              <w:jc w:val="both"/>
              <w:rPr>
                <w:lang w:val="en-IN"/>
              </w:rPr>
            </w:pPr>
            <w:r w:rsidRPr="00267931">
              <w:rPr>
                <w:lang w:val="en-IN"/>
              </w:rPr>
              <w:t>Enables $282M Fifth Avenue renovation and China expansion</w:t>
            </w:r>
          </w:p>
        </w:tc>
      </w:tr>
      <w:tr w:rsidR="00267931" w:rsidRPr="00267931" w14:paraId="228CBF19" w14:textId="77777777" w:rsidTr="00267931">
        <w:trPr>
          <w:tblCellSpacing w:w="15" w:type="dxa"/>
        </w:trPr>
        <w:tc>
          <w:tcPr>
            <w:tcW w:w="0" w:type="auto"/>
            <w:vAlign w:val="center"/>
            <w:hideMark/>
          </w:tcPr>
          <w:p w14:paraId="19D62541" w14:textId="77777777" w:rsidR="00267931" w:rsidRPr="00267931" w:rsidRDefault="00267931" w:rsidP="00267931">
            <w:pPr>
              <w:pStyle w:val="BodyText"/>
              <w:spacing w:before="237"/>
              <w:ind w:right="359"/>
              <w:jc w:val="both"/>
              <w:rPr>
                <w:lang w:val="en-IN"/>
              </w:rPr>
            </w:pPr>
            <w:r w:rsidRPr="00267931">
              <w:rPr>
                <w:b/>
                <w:bCs/>
                <w:lang w:val="en-IN"/>
              </w:rPr>
              <w:t>Operational Synergies</w:t>
            </w:r>
          </w:p>
        </w:tc>
        <w:tc>
          <w:tcPr>
            <w:tcW w:w="0" w:type="auto"/>
            <w:vAlign w:val="center"/>
            <w:hideMark/>
          </w:tcPr>
          <w:p w14:paraId="475FEDA1" w14:textId="77777777" w:rsidR="00267931" w:rsidRPr="00267931" w:rsidRDefault="00267931" w:rsidP="00267931">
            <w:pPr>
              <w:pStyle w:val="BodyText"/>
              <w:spacing w:before="237"/>
              <w:ind w:right="359"/>
              <w:jc w:val="both"/>
              <w:rPr>
                <w:lang w:val="en-IN"/>
              </w:rPr>
            </w:pPr>
            <w:r w:rsidRPr="00267931">
              <w:rPr>
                <w:lang w:val="en-IN"/>
              </w:rPr>
              <w:t>Procurement scale, shared back-office, distribution efficiencies</w:t>
            </w:r>
          </w:p>
        </w:tc>
        <w:tc>
          <w:tcPr>
            <w:tcW w:w="0" w:type="auto"/>
            <w:vAlign w:val="center"/>
            <w:hideMark/>
          </w:tcPr>
          <w:p w14:paraId="462C0A1C" w14:textId="77777777" w:rsidR="00267931" w:rsidRPr="00267931" w:rsidRDefault="00267931" w:rsidP="00267931">
            <w:pPr>
              <w:pStyle w:val="BodyText"/>
              <w:spacing w:before="237"/>
              <w:ind w:right="359"/>
              <w:jc w:val="both"/>
              <w:rPr>
                <w:lang w:val="en-IN"/>
              </w:rPr>
            </w:pPr>
            <w:r w:rsidRPr="00267931">
              <w:rPr>
                <w:lang w:val="en-IN"/>
              </w:rPr>
              <w:t>Gross margin +5% (Europe), +4% (other); Working capital efficiency +50%</w:t>
            </w:r>
          </w:p>
        </w:tc>
      </w:tr>
      <w:tr w:rsidR="00267931" w:rsidRPr="00267931" w14:paraId="60516447" w14:textId="77777777" w:rsidTr="00267931">
        <w:trPr>
          <w:tblCellSpacing w:w="15" w:type="dxa"/>
        </w:trPr>
        <w:tc>
          <w:tcPr>
            <w:tcW w:w="0" w:type="auto"/>
            <w:vAlign w:val="center"/>
            <w:hideMark/>
          </w:tcPr>
          <w:p w14:paraId="0C8BDD47" w14:textId="77777777" w:rsidR="00267931" w:rsidRPr="00267931" w:rsidRDefault="00267931" w:rsidP="00267931">
            <w:pPr>
              <w:pStyle w:val="BodyText"/>
              <w:spacing w:before="237"/>
              <w:ind w:right="359"/>
              <w:jc w:val="both"/>
              <w:rPr>
                <w:lang w:val="en-IN"/>
              </w:rPr>
            </w:pPr>
            <w:r w:rsidRPr="00267931">
              <w:rPr>
                <w:b/>
                <w:bCs/>
                <w:lang w:val="en-IN"/>
              </w:rPr>
              <w:t>China Market Expertise</w:t>
            </w:r>
          </w:p>
        </w:tc>
        <w:tc>
          <w:tcPr>
            <w:tcW w:w="0" w:type="auto"/>
            <w:vAlign w:val="center"/>
            <w:hideMark/>
          </w:tcPr>
          <w:p w14:paraId="6CB4B34C" w14:textId="77777777" w:rsidR="00267931" w:rsidRPr="00267931" w:rsidRDefault="00267931" w:rsidP="00267931">
            <w:pPr>
              <w:pStyle w:val="BodyText"/>
              <w:spacing w:before="237"/>
              <w:ind w:right="359"/>
              <w:jc w:val="both"/>
              <w:rPr>
                <w:lang w:val="en-IN"/>
              </w:rPr>
            </w:pPr>
            <w:r w:rsidRPr="00267931">
              <w:rPr>
                <w:lang w:val="en-IN"/>
              </w:rPr>
              <w:t>Leverage LVMH’s infrastructure in fastest-growing luxury market</w:t>
            </w:r>
          </w:p>
        </w:tc>
        <w:tc>
          <w:tcPr>
            <w:tcW w:w="0" w:type="auto"/>
            <w:vAlign w:val="center"/>
            <w:hideMark/>
          </w:tcPr>
          <w:p w14:paraId="6B4F67E3" w14:textId="77777777" w:rsidR="00267931" w:rsidRPr="00267931" w:rsidRDefault="00267931" w:rsidP="00267931">
            <w:pPr>
              <w:pStyle w:val="BodyText"/>
              <w:spacing w:before="237"/>
              <w:ind w:right="359"/>
              <w:jc w:val="both"/>
              <w:rPr>
                <w:lang w:val="en-IN"/>
              </w:rPr>
            </w:pPr>
            <w:r w:rsidRPr="00267931">
              <w:rPr>
                <w:lang w:val="en-IN"/>
              </w:rPr>
              <w:t>Access to 46% of global luxury market by 2025</w:t>
            </w:r>
          </w:p>
        </w:tc>
      </w:tr>
      <w:tr w:rsidR="00267931" w:rsidRPr="00267931" w14:paraId="6D6AB66B" w14:textId="77777777" w:rsidTr="00267931">
        <w:trPr>
          <w:tblCellSpacing w:w="15" w:type="dxa"/>
        </w:trPr>
        <w:tc>
          <w:tcPr>
            <w:tcW w:w="0" w:type="auto"/>
            <w:vAlign w:val="center"/>
            <w:hideMark/>
          </w:tcPr>
          <w:p w14:paraId="2D80D887" w14:textId="77777777" w:rsidR="00267931" w:rsidRPr="00267931" w:rsidRDefault="00267931" w:rsidP="00267931">
            <w:pPr>
              <w:pStyle w:val="BodyText"/>
              <w:spacing w:before="237"/>
              <w:ind w:right="359"/>
              <w:jc w:val="both"/>
              <w:rPr>
                <w:lang w:val="en-IN"/>
              </w:rPr>
            </w:pPr>
            <w:r w:rsidRPr="00267931">
              <w:rPr>
                <w:b/>
                <w:bCs/>
                <w:lang w:val="en-IN"/>
              </w:rPr>
              <w:t>Brand Portfolio Benefits</w:t>
            </w:r>
          </w:p>
        </w:tc>
        <w:tc>
          <w:tcPr>
            <w:tcW w:w="0" w:type="auto"/>
            <w:vAlign w:val="center"/>
            <w:hideMark/>
          </w:tcPr>
          <w:p w14:paraId="42FF79A0" w14:textId="77777777" w:rsidR="00267931" w:rsidRPr="00267931" w:rsidRDefault="00267931" w:rsidP="00267931">
            <w:pPr>
              <w:pStyle w:val="BodyText"/>
              <w:spacing w:before="237"/>
              <w:ind w:right="359"/>
              <w:jc w:val="both"/>
              <w:rPr>
                <w:lang w:val="en-IN"/>
              </w:rPr>
            </w:pPr>
            <w:r w:rsidRPr="00267931">
              <w:rPr>
                <w:lang w:val="en-IN"/>
              </w:rPr>
              <w:t>Cross-selling opportunities while maintaining autonomy under decentralized model</w:t>
            </w:r>
          </w:p>
        </w:tc>
        <w:tc>
          <w:tcPr>
            <w:tcW w:w="0" w:type="auto"/>
            <w:vAlign w:val="center"/>
            <w:hideMark/>
          </w:tcPr>
          <w:p w14:paraId="5DE9CD02" w14:textId="77777777" w:rsidR="00267931" w:rsidRPr="00267931" w:rsidRDefault="00267931" w:rsidP="00267931">
            <w:pPr>
              <w:pStyle w:val="BodyText"/>
              <w:spacing w:before="237"/>
              <w:ind w:right="359"/>
              <w:jc w:val="both"/>
              <w:rPr>
                <w:lang w:val="en-IN"/>
              </w:rPr>
            </w:pPr>
            <w:r w:rsidRPr="00267931">
              <w:rPr>
                <w:lang w:val="en-IN"/>
              </w:rPr>
              <w:t>Enhanced marketing reach across 75 brands</w:t>
            </w:r>
          </w:p>
        </w:tc>
      </w:tr>
    </w:tbl>
    <w:p w14:paraId="639D623D" w14:textId="77777777" w:rsidR="00267931" w:rsidRDefault="00267931">
      <w:pPr>
        <w:pStyle w:val="BodyText"/>
        <w:spacing w:before="237"/>
        <w:ind w:right="359"/>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4068"/>
        <w:gridCol w:w="3759"/>
      </w:tblGrid>
      <w:tr w:rsidR="00267931" w:rsidRPr="00267931" w14:paraId="543DEEA3" w14:textId="77777777" w:rsidTr="00267931">
        <w:trPr>
          <w:tblHeader/>
          <w:tblCellSpacing w:w="15" w:type="dxa"/>
        </w:trPr>
        <w:tc>
          <w:tcPr>
            <w:tcW w:w="0" w:type="auto"/>
            <w:vAlign w:val="center"/>
            <w:hideMark/>
          </w:tcPr>
          <w:p w14:paraId="21E7BD5F" w14:textId="77777777" w:rsidR="00267931" w:rsidRPr="00267931" w:rsidRDefault="00267931" w:rsidP="00267931">
            <w:pPr>
              <w:pStyle w:val="BodyText"/>
              <w:spacing w:before="237"/>
              <w:ind w:right="359"/>
              <w:jc w:val="both"/>
              <w:rPr>
                <w:b/>
                <w:bCs/>
                <w:lang w:val="en-IN"/>
              </w:rPr>
            </w:pPr>
            <w:r w:rsidRPr="00267931">
              <w:rPr>
                <w:b/>
                <w:bCs/>
                <w:lang w:val="en-IN"/>
              </w:rPr>
              <w:t>Disadvantages</w:t>
            </w:r>
          </w:p>
        </w:tc>
        <w:tc>
          <w:tcPr>
            <w:tcW w:w="0" w:type="auto"/>
            <w:vAlign w:val="center"/>
            <w:hideMark/>
          </w:tcPr>
          <w:p w14:paraId="5258AC18" w14:textId="77777777" w:rsidR="00267931" w:rsidRPr="00267931" w:rsidRDefault="00267931" w:rsidP="00267931">
            <w:pPr>
              <w:pStyle w:val="BodyText"/>
              <w:spacing w:before="237"/>
              <w:ind w:right="359"/>
              <w:jc w:val="both"/>
              <w:rPr>
                <w:b/>
                <w:bCs/>
                <w:lang w:val="en-IN"/>
              </w:rPr>
            </w:pPr>
            <w:r w:rsidRPr="00267931">
              <w:rPr>
                <w:b/>
                <w:bCs/>
                <w:lang w:val="en-IN"/>
              </w:rPr>
              <w:t>Description</w:t>
            </w:r>
          </w:p>
        </w:tc>
        <w:tc>
          <w:tcPr>
            <w:tcW w:w="0" w:type="auto"/>
            <w:vAlign w:val="center"/>
            <w:hideMark/>
          </w:tcPr>
          <w:p w14:paraId="2ECEF29B" w14:textId="77777777" w:rsidR="00267931" w:rsidRPr="00267931" w:rsidRDefault="00267931" w:rsidP="00267931">
            <w:pPr>
              <w:pStyle w:val="BodyText"/>
              <w:spacing w:before="237"/>
              <w:ind w:right="359"/>
              <w:jc w:val="both"/>
              <w:rPr>
                <w:b/>
                <w:bCs/>
                <w:lang w:val="en-IN"/>
              </w:rPr>
            </w:pPr>
            <w:r w:rsidRPr="00267931">
              <w:rPr>
                <w:b/>
                <w:bCs/>
                <w:lang w:val="en-IN"/>
              </w:rPr>
              <w:t>Risk</w:t>
            </w:r>
          </w:p>
        </w:tc>
      </w:tr>
      <w:tr w:rsidR="00267931" w:rsidRPr="00267931" w14:paraId="63E3F06A" w14:textId="77777777" w:rsidTr="00267931">
        <w:trPr>
          <w:tblCellSpacing w:w="15" w:type="dxa"/>
        </w:trPr>
        <w:tc>
          <w:tcPr>
            <w:tcW w:w="0" w:type="auto"/>
            <w:vAlign w:val="center"/>
            <w:hideMark/>
          </w:tcPr>
          <w:p w14:paraId="66F8C43F" w14:textId="77777777" w:rsidR="00267931" w:rsidRPr="00267931" w:rsidRDefault="00267931" w:rsidP="00267931">
            <w:pPr>
              <w:pStyle w:val="BodyText"/>
              <w:spacing w:before="237"/>
              <w:ind w:right="359"/>
              <w:jc w:val="both"/>
              <w:rPr>
                <w:lang w:val="en-IN"/>
              </w:rPr>
            </w:pPr>
            <w:r w:rsidRPr="00267931">
              <w:rPr>
                <w:b/>
                <w:bCs/>
                <w:lang w:val="en-IN"/>
              </w:rPr>
              <w:t>Loss of Independence</w:t>
            </w:r>
          </w:p>
        </w:tc>
        <w:tc>
          <w:tcPr>
            <w:tcW w:w="0" w:type="auto"/>
            <w:vAlign w:val="center"/>
            <w:hideMark/>
          </w:tcPr>
          <w:p w14:paraId="708D8757" w14:textId="0AF76154" w:rsidR="00267931" w:rsidRPr="00267931" w:rsidRDefault="00267931" w:rsidP="00267931">
            <w:pPr>
              <w:pStyle w:val="BodyText"/>
              <w:spacing w:before="237"/>
              <w:ind w:right="359"/>
              <w:jc w:val="both"/>
              <w:rPr>
                <w:lang w:val="en-IN"/>
              </w:rPr>
            </w:pPr>
            <w:r w:rsidRPr="00267931">
              <w:rPr>
                <w:lang w:val="en-IN"/>
              </w:rPr>
              <w:t xml:space="preserve">End of 182-year legacy as independent American </w:t>
            </w:r>
            <w:r w:rsidR="00C270AC" w:rsidRPr="00267931">
              <w:rPr>
                <w:lang w:val="en-IN"/>
              </w:rPr>
              <w:t>jeweller</w:t>
            </w:r>
          </w:p>
        </w:tc>
        <w:tc>
          <w:tcPr>
            <w:tcW w:w="0" w:type="auto"/>
            <w:vAlign w:val="center"/>
            <w:hideMark/>
          </w:tcPr>
          <w:p w14:paraId="008E0860" w14:textId="77777777" w:rsidR="00267931" w:rsidRPr="00267931" w:rsidRDefault="00267931" w:rsidP="00267931">
            <w:pPr>
              <w:pStyle w:val="BodyText"/>
              <w:spacing w:before="237"/>
              <w:ind w:right="359"/>
              <w:jc w:val="both"/>
              <w:rPr>
                <w:lang w:val="en-IN"/>
              </w:rPr>
            </w:pPr>
            <w:r w:rsidRPr="00267931">
              <w:rPr>
                <w:lang w:val="en-IN"/>
              </w:rPr>
              <w:t>Potential dilution of unique American heritage and brand identity</w:t>
            </w:r>
          </w:p>
        </w:tc>
      </w:tr>
      <w:tr w:rsidR="00267931" w:rsidRPr="00267931" w14:paraId="6845FAE3" w14:textId="77777777" w:rsidTr="00267931">
        <w:trPr>
          <w:tblCellSpacing w:w="15" w:type="dxa"/>
        </w:trPr>
        <w:tc>
          <w:tcPr>
            <w:tcW w:w="0" w:type="auto"/>
            <w:vAlign w:val="center"/>
            <w:hideMark/>
          </w:tcPr>
          <w:p w14:paraId="3A8AEC6C" w14:textId="77777777" w:rsidR="00267931" w:rsidRPr="00267931" w:rsidRDefault="00267931" w:rsidP="00267931">
            <w:pPr>
              <w:pStyle w:val="BodyText"/>
              <w:spacing w:before="237"/>
              <w:ind w:right="359"/>
              <w:jc w:val="both"/>
              <w:rPr>
                <w:lang w:val="en-IN"/>
              </w:rPr>
            </w:pPr>
            <w:r w:rsidRPr="00267931">
              <w:rPr>
                <w:b/>
                <w:bCs/>
                <w:lang w:val="en-IN"/>
              </w:rPr>
              <w:t>Poor Timing</w:t>
            </w:r>
          </w:p>
        </w:tc>
        <w:tc>
          <w:tcPr>
            <w:tcW w:w="0" w:type="auto"/>
            <w:vAlign w:val="center"/>
            <w:hideMark/>
          </w:tcPr>
          <w:p w14:paraId="7E9CCF56" w14:textId="77777777" w:rsidR="00267931" w:rsidRPr="00267931" w:rsidRDefault="00267931" w:rsidP="00267931">
            <w:pPr>
              <w:pStyle w:val="BodyText"/>
              <w:spacing w:before="237"/>
              <w:ind w:right="359"/>
              <w:jc w:val="both"/>
              <w:rPr>
                <w:lang w:val="en-IN"/>
              </w:rPr>
            </w:pPr>
            <w:r w:rsidRPr="00267931">
              <w:rPr>
                <w:lang w:val="en-IN"/>
              </w:rPr>
              <w:t>Stock at $91.58, down 35% from $140 high due to temporary headwinds</w:t>
            </w:r>
          </w:p>
        </w:tc>
        <w:tc>
          <w:tcPr>
            <w:tcW w:w="0" w:type="auto"/>
            <w:vAlign w:val="center"/>
            <w:hideMark/>
          </w:tcPr>
          <w:p w14:paraId="60CB09DB" w14:textId="77777777" w:rsidR="00267931" w:rsidRPr="00267931" w:rsidRDefault="00267931" w:rsidP="00267931">
            <w:pPr>
              <w:pStyle w:val="BodyText"/>
              <w:spacing w:before="237"/>
              <w:ind w:right="359"/>
              <w:jc w:val="both"/>
              <w:rPr>
                <w:lang w:val="en-IN"/>
              </w:rPr>
            </w:pPr>
            <w:r w:rsidRPr="00267931">
              <w:rPr>
                <w:lang w:val="en-IN"/>
              </w:rPr>
              <w:t>Selling at cyclical low before turnaround plan fully realized</w:t>
            </w:r>
          </w:p>
        </w:tc>
      </w:tr>
      <w:tr w:rsidR="00267931" w:rsidRPr="00267931" w14:paraId="54DC63A1" w14:textId="77777777" w:rsidTr="00267931">
        <w:trPr>
          <w:tblCellSpacing w:w="15" w:type="dxa"/>
        </w:trPr>
        <w:tc>
          <w:tcPr>
            <w:tcW w:w="0" w:type="auto"/>
            <w:vAlign w:val="center"/>
            <w:hideMark/>
          </w:tcPr>
          <w:p w14:paraId="5FB6B89F" w14:textId="77777777" w:rsidR="00267931" w:rsidRPr="00267931" w:rsidRDefault="00267931" w:rsidP="00267931">
            <w:pPr>
              <w:pStyle w:val="BodyText"/>
              <w:spacing w:before="237"/>
              <w:ind w:right="359"/>
              <w:jc w:val="both"/>
              <w:rPr>
                <w:lang w:val="en-IN"/>
              </w:rPr>
            </w:pPr>
            <w:r w:rsidRPr="00267931">
              <w:rPr>
                <w:b/>
                <w:bCs/>
                <w:lang w:val="en-IN"/>
              </w:rPr>
              <w:t>Cultural Integration</w:t>
            </w:r>
          </w:p>
        </w:tc>
        <w:tc>
          <w:tcPr>
            <w:tcW w:w="0" w:type="auto"/>
            <w:vAlign w:val="center"/>
            <w:hideMark/>
          </w:tcPr>
          <w:p w14:paraId="7FD583A6" w14:textId="77777777" w:rsidR="00267931" w:rsidRPr="00267931" w:rsidRDefault="00267931" w:rsidP="00267931">
            <w:pPr>
              <w:pStyle w:val="BodyText"/>
              <w:spacing w:before="237"/>
              <w:ind w:right="359"/>
              <w:jc w:val="both"/>
              <w:rPr>
                <w:lang w:val="en-IN"/>
              </w:rPr>
            </w:pPr>
            <w:r w:rsidRPr="00267931">
              <w:rPr>
                <w:lang w:val="en-IN"/>
              </w:rPr>
              <w:t>American “accessible luxury” vs. European exclusivity philosophy</w:t>
            </w:r>
          </w:p>
        </w:tc>
        <w:tc>
          <w:tcPr>
            <w:tcW w:w="0" w:type="auto"/>
            <w:vAlign w:val="center"/>
            <w:hideMark/>
          </w:tcPr>
          <w:p w14:paraId="3D2879FB" w14:textId="77777777" w:rsidR="00267931" w:rsidRPr="00267931" w:rsidRDefault="00267931" w:rsidP="00267931">
            <w:pPr>
              <w:pStyle w:val="BodyText"/>
              <w:spacing w:before="237"/>
              <w:ind w:right="359"/>
              <w:jc w:val="both"/>
              <w:rPr>
                <w:lang w:val="en-IN"/>
              </w:rPr>
            </w:pPr>
            <w:r w:rsidRPr="00267931">
              <w:rPr>
                <w:lang w:val="en-IN"/>
              </w:rPr>
              <w:t>Risk of talent loss and brand positioning conflicts</w:t>
            </w:r>
          </w:p>
        </w:tc>
      </w:tr>
      <w:tr w:rsidR="00267931" w:rsidRPr="00267931" w14:paraId="4520B045" w14:textId="77777777" w:rsidTr="00267931">
        <w:trPr>
          <w:tblCellSpacing w:w="15" w:type="dxa"/>
        </w:trPr>
        <w:tc>
          <w:tcPr>
            <w:tcW w:w="0" w:type="auto"/>
            <w:vAlign w:val="center"/>
            <w:hideMark/>
          </w:tcPr>
          <w:p w14:paraId="25E70257" w14:textId="77777777" w:rsidR="00267931" w:rsidRPr="00267931" w:rsidRDefault="00267931" w:rsidP="00267931">
            <w:pPr>
              <w:pStyle w:val="BodyText"/>
              <w:spacing w:before="237"/>
              <w:ind w:right="359"/>
              <w:jc w:val="both"/>
              <w:rPr>
                <w:lang w:val="en-IN"/>
              </w:rPr>
            </w:pPr>
            <w:r w:rsidRPr="00267931">
              <w:rPr>
                <w:b/>
                <w:bCs/>
                <w:lang w:val="en-IN"/>
              </w:rPr>
              <w:t>Strategic Autonomy</w:t>
            </w:r>
          </w:p>
        </w:tc>
        <w:tc>
          <w:tcPr>
            <w:tcW w:w="0" w:type="auto"/>
            <w:vAlign w:val="center"/>
            <w:hideMark/>
          </w:tcPr>
          <w:p w14:paraId="2A5177D5" w14:textId="77777777" w:rsidR="00267931" w:rsidRPr="00267931" w:rsidRDefault="00267931" w:rsidP="00267931">
            <w:pPr>
              <w:pStyle w:val="BodyText"/>
              <w:spacing w:before="237"/>
              <w:ind w:right="359"/>
              <w:jc w:val="both"/>
              <w:rPr>
                <w:lang w:val="en-IN"/>
              </w:rPr>
            </w:pPr>
            <w:r w:rsidRPr="00267931">
              <w:rPr>
                <w:lang w:val="en-IN"/>
              </w:rPr>
              <w:t>Decision-making shifts to Paris despite autonomy promises</w:t>
            </w:r>
          </w:p>
        </w:tc>
        <w:tc>
          <w:tcPr>
            <w:tcW w:w="0" w:type="auto"/>
            <w:vAlign w:val="center"/>
            <w:hideMark/>
          </w:tcPr>
          <w:p w14:paraId="126EF103" w14:textId="77777777" w:rsidR="00267931" w:rsidRPr="00267931" w:rsidRDefault="00267931" w:rsidP="00267931">
            <w:pPr>
              <w:pStyle w:val="BodyText"/>
              <w:spacing w:before="237"/>
              <w:ind w:right="359"/>
              <w:jc w:val="both"/>
              <w:rPr>
                <w:lang w:val="en-IN"/>
              </w:rPr>
            </w:pPr>
            <w:r w:rsidRPr="00267931">
              <w:rPr>
                <w:lang w:val="en-IN"/>
              </w:rPr>
              <w:t>Loss of control over long-term strategy and investments</w:t>
            </w:r>
          </w:p>
        </w:tc>
      </w:tr>
    </w:tbl>
    <w:p w14:paraId="2089D682" w14:textId="77777777" w:rsidR="00296D58" w:rsidRDefault="00296D58">
      <w:pPr>
        <w:pStyle w:val="BodyText"/>
        <w:spacing w:before="237"/>
        <w:ind w:right="359"/>
        <w:jc w:val="both"/>
      </w:pPr>
    </w:p>
    <w:p w14:paraId="3E506B27" w14:textId="6115E89E" w:rsidR="00267931" w:rsidRDefault="00267931">
      <w:pPr>
        <w:pStyle w:val="BodyText"/>
        <w:spacing w:before="237"/>
        <w:ind w:right="359"/>
        <w:jc w:val="both"/>
      </w:pPr>
      <w:r w:rsidRPr="00267931">
        <w:lastRenderedPageBreak/>
        <w:t>For LVMH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3782"/>
        <w:gridCol w:w="3945"/>
      </w:tblGrid>
      <w:tr w:rsidR="00CB4582" w:rsidRPr="00CB4582" w14:paraId="2B1940B3" w14:textId="77777777" w:rsidTr="00CB4582">
        <w:trPr>
          <w:tblHeader/>
          <w:tblCellSpacing w:w="15" w:type="dxa"/>
        </w:trPr>
        <w:tc>
          <w:tcPr>
            <w:tcW w:w="0" w:type="auto"/>
            <w:vAlign w:val="center"/>
            <w:hideMark/>
          </w:tcPr>
          <w:p w14:paraId="3264EB32" w14:textId="77777777" w:rsidR="00CB4582" w:rsidRPr="00CB4582" w:rsidRDefault="00CB4582" w:rsidP="00CB4582">
            <w:pPr>
              <w:pStyle w:val="BodyText"/>
              <w:spacing w:before="237"/>
              <w:ind w:right="359"/>
              <w:jc w:val="both"/>
              <w:rPr>
                <w:b/>
                <w:bCs/>
                <w:lang w:val="en-IN"/>
              </w:rPr>
            </w:pPr>
            <w:r w:rsidRPr="00CB4582">
              <w:rPr>
                <w:b/>
                <w:bCs/>
                <w:lang w:val="en-IN"/>
              </w:rPr>
              <w:t>Advantages</w:t>
            </w:r>
          </w:p>
        </w:tc>
        <w:tc>
          <w:tcPr>
            <w:tcW w:w="0" w:type="auto"/>
            <w:vAlign w:val="center"/>
            <w:hideMark/>
          </w:tcPr>
          <w:p w14:paraId="649FA5D8" w14:textId="77777777" w:rsidR="00CB4582" w:rsidRPr="00CB4582" w:rsidRDefault="00CB4582" w:rsidP="00CB4582">
            <w:pPr>
              <w:pStyle w:val="BodyText"/>
              <w:spacing w:before="237"/>
              <w:ind w:right="359"/>
              <w:jc w:val="both"/>
              <w:rPr>
                <w:b/>
                <w:bCs/>
                <w:lang w:val="en-IN"/>
              </w:rPr>
            </w:pPr>
            <w:r w:rsidRPr="00CB4582">
              <w:rPr>
                <w:b/>
                <w:bCs/>
                <w:lang w:val="en-IN"/>
              </w:rPr>
              <w:t>Description</w:t>
            </w:r>
          </w:p>
        </w:tc>
        <w:tc>
          <w:tcPr>
            <w:tcW w:w="0" w:type="auto"/>
            <w:vAlign w:val="center"/>
            <w:hideMark/>
          </w:tcPr>
          <w:p w14:paraId="5BAA30A6" w14:textId="77777777" w:rsidR="00CB4582" w:rsidRPr="00CB4582" w:rsidRDefault="00CB4582" w:rsidP="00CB4582">
            <w:pPr>
              <w:pStyle w:val="BodyText"/>
              <w:spacing w:before="237"/>
              <w:ind w:right="359"/>
              <w:jc w:val="both"/>
              <w:rPr>
                <w:b/>
                <w:bCs/>
                <w:lang w:val="en-IN"/>
              </w:rPr>
            </w:pPr>
            <w:r w:rsidRPr="00CB4582">
              <w:rPr>
                <w:b/>
                <w:bCs/>
                <w:lang w:val="en-IN"/>
              </w:rPr>
              <w:t>Impact</w:t>
            </w:r>
          </w:p>
        </w:tc>
      </w:tr>
      <w:tr w:rsidR="00CB4582" w:rsidRPr="00CB4582" w14:paraId="0A11EAFB" w14:textId="77777777" w:rsidTr="00CB4582">
        <w:trPr>
          <w:tblCellSpacing w:w="15" w:type="dxa"/>
        </w:trPr>
        <w:tc>
          <w:tcPr>
            <w:tcW w:w="0" w:type="auto"/>
            <w:vAlign w:val="center"/>
            <w:hideMark/>
          </w:tcPr>
          <w:p w14:paraId="02D3D831" w14:textId="77777777" w:rsidR="00CB4582" w:rsidRPr="00CB4582" w:rsidRDefault="00CB4582" w:rsidP="00CB4582">
            <w:pPr>
              <w:pStyle w:val="BodyText"/>
              <w:spacing w:before="237"/>
              <w:ind w:right="359"/>
              <w:jc w:val="both"/>
              <w:rPr>
                <w:lang w:val="en-IN"/>
              </w:rPr>
            </w:pPr>
            <w:r w:rsidRPr="00CB4582">
              <w:rPr>
                <w:b/>
                <w:bCs/>
                <w:lang w:val="en-IN"/>
              </w:rPr>
              <w:t>Hard Luxury Scale</w:t>
            </w:r>
          </w:p>
        </w:tc>
        <w:tc>
          <w:tcPr>
            <w:tcW w:w="0" w:type="auto"/>
            <w:vAlign w:val="center"/>
            <w:hideMark/>
          </w:tcPr>
          <w:p w14:paraId="14197604" w14:textId="6C54DD1D" w:rsidR="00CB4582" w:rsidRPr="00CB4582" w:rsidRDefault="00CB4582" w:rsidP="00CB4582">
            <w:pPr>
              <w:pStyle w:val="BodyText"/>
              <w:spacing w:before="237"/>
              <w:ind w:right="359"/>
              <w:jc w:val="both"/>
              <w:rPr>
                <w:lang w:val="en-IN"/>
              </w:rPr>
            </w:pPr>
            <w:r w:rsidRPr="00CB4582">
              <w:rPr>
                <w:lang w:val="en-IN"/>
              </w:rPr>
              <w:t xml:space="preserve">Doubles watches &amp; </w:t>
            </w:r>
            <w:r w:rsidR="00C270AC" w:rsidRPr="00CB4582">
              <w:rPr>
                <w:lang w:val="en-IN"/>
              </w:rPr>
              <w:t>jewellery</w:t>
            </w:r>
            <w:r w:rsidRPr="00CB4582">
              <w:rPr>
                <w:lang w:val="en-IN"/>
              </w:rPr>
              <w:t xml:space="preserve"> from 9% to ~18% of revenue</w:t>
            </w:r>
          </w:p>
        </w:tc>
        <w:tc>
          <w:tcPr>
            <w:tcW w:w="0" w:type="auto"/>
            <w:vAlign w:val="center"/>
            <w:hideMark/>
          </w:tcPr>
          <w:p w14:paraId="2FD1435C" w14:textId="77777777" w:rsidR="00CB4582" w:rsidRPr="00CB4582" w:rsidRDefault="00CB4582" w:rsidP="00CB4582">
            <w:pPr>
              <w:pStyle w:val="BodyText"/>
              <w:spacing w:before="237"/>
              <w:ind w:right="359"/>
              <w:jc w:val="both"/>
              <w:rPr>
                <w:lang w:val="en-IN"/>
              </w:rPr>
            </w:pPr>
            <w:r w:rsidRPr="00CB4582">
              <w:rPr>
                <w:lang w:val="en-IN"/>
              </w:rPr>
              <w:t>Direct challenge to Richemont’s 18.2% market leadership</w:t>
            </w:r>
          </w:p>
        </w:tc>
      </w:tr>
      <w:tr w:rsidR="00CB4582" w:rsidRPr="00CB4582" w14:paraId="7E69D4FD" w14:textId="77777777" w:rsidTr="00CB4582">
        <w:trPr>
          <w:tblCellSpacing w:w="15" w:type="dxa"/>
        </w:trPr>
        <w:tc>
          <w:tcPr>
            <w:tcW w:w="0" w:type="auto"/>
            <w:vAlign w:val="center"/>
            <w:hideMark/>
          </w:tcPr>
          <w:p w14:paraId="6C704864" w14:textId="77777777" w:rsidR="00CB4582" w:rsidRPr="00CB4582" w:rsidRDefault="00CB4582" w:rsidP="00CB4582">
            <w:pPr>
              <w:pStyle w:val="BodyText"/>
              <w:spacing w:before="237"/>
              <w:ind w:right="359"/>
              <w:jc w:val="both"/>
              <w:rPr>
                <w:lang w:val="en-IN"/>
              </w:rPr>
            </w:pPr>
            <w:r w:rsidRPr="00CB4582">
              <w:rPr>
                <w:b/>
                <w:bCs/>
                <w:lang w:val="en-IN"/>
              </w:rPr>
              <w:t>American Heritage Brand</w:t>
            </w:r>
          </w:p>
        </w:tc>
        <w:tc>
          <w:tcPr>
            <w:tcW w:w="0" w:type="auto"/>
            <w:vAlign w:val="center"/>
            <w:hideMark/>
          </w:tcPr>
          <w:p w14:paraId="2A9620C9" w14:textId="5324F645" w:rsidR="00CB4582" w:rsidRPr="00CB4582" w:rsidRDefault="00CB4582" w:rsidP="00CB4582">
            <w:pPr>
              <w:pStyle w:val="BodyText"/>
              <w:spacing w:before="237"/>
              <w:ind w:right="359"/>
              <w:jc w:val="both"/>
              <w:rPr>
                <w:lang w:val="en-IN"/>
              </w:rPr>
            </w:pPr>
            <w:r w:rsidRPr="00CB4582">
              <w:rPr>
                <w:lang w:val="en-IN"/>
              </w:rPr>
              <w:t xml:space="preserve">Only major US luxury </w:t>
            </w:r>
            <w:r w:rsidR="00C270AC" w:rsidRPr="00CB4582">
              <w:rPr>
                <w:lang w:val="en-IN"/>
              </w:rPr>
              <w:t>jeweller</w:t>
            </w:r>
            <w:r w:rsidRPr="00CB4582">
              <w:rPr>
                <w:lang w:val="en-IN"/>
              </w:rPr>
              <w:t xml:space="preserve"> with global recognition</w:t>
            </w:r>
          </w:p>
        </w:tc>
        <w:tc>
          <w:tcPr>
            <w:tcW w:w="0" w:type="auto"/>
            <w:vAlign w:val="center"/>
            <w:hideMark/>
          </w:tcPr>
          <w:p w14:paraId="5C748D9E" w14:textId="77777777" w:rsidR="00CB4582" w:rsidRPr="00CB4582" w:rsidRDefault="00CB4582" w:rsidP="00CB4582">
            <w:pPr>
              <w:pStyle w:val="BodyText"/>
              <w:spacing w:before="237"/>
              <w:ind w:right="359"/>
              <w:jc w:val="both"/>
              <w:rPr>
                <w:lang w:val="en-IN"/>
              </w:rPr>
            </w:pPr>
            <w:r w:rsidRPr="00CB4582">
              <w:rPr>
                <w:lang w:val="en-IN"/>
              </w:rPr>
              <w:t>Geographic diversification and authentic US market presence</w:t>
            </w:r>
          </w:p>
        </w:tc>
      </w:tr>
      <w:tr w:rsidR="00CB4582" w:rsidRPr="00CB4582" w14:paraId="59723E9A" w14:textId="77777777" w:rsidTr="00CB4582">
        <w:trPr>
          <w:tblCellSpacing w:w="15" w:type="dxa"/>
        </w:trPr>
        <w:tc>
          <w:tcPr>
            <w:tcW w:w="0" w:type="auto"/>
            <w:vAlign w:val="center"/>
            <w:hideMark/>
          </w:tcPr>
          <w:p w14:paraId="3D1CF202" w14:textId="77777777" w:rsidR="00CB4582" w:rsidRPr="00CB4582" w:rsidRDefault="00CB4582" w:rsidP="00CB4582">
            <w:pPr>
              <w:pStyle w:val="BodyText"/>
              <w:spacing w:before="237"/>
              <w:ind w:right="359"/>
              <w:jc w:val="both"/>
              <w:rPr>
                <w:lang w:val="en-IN"/>
              </w:rPr>
            </w:pPr>
            <w:r w:rsidRPr="00CB4582">
              <w:rPr>
                <w:b/>
                <w:bCs/>
                <w:lang w:val="en-IN"/>
              </w:rPr>
              <w:t>Immediate Market Share</w:t>
            </w:r>
          </w:p>
        </w:tc>
        <w:tc>
          <w:tcPr>
            <w:tcW w:w="0" w:type="auto"/>
            <w:vAlign w:val="center"/>
            <w:hideMark/>
          </w:tcPr>
          <w:p w14:paraId="1A7D198F" w14:textId="77777777" w:rsidR="00CB4582" w:rsidRPr="00CB4582" w:rsidRDefault="00CB4582" w:rsidP="00CB4582">
            <w:pPr>
              <w:pStyle w:val="BodyText"/>
              <w:spacing w:before="237"/>
              <w:ind w:right="359"/>
              <w:jc w:val="both"/>
              <w:rPr>
                <w:lang w:val="en-IN"/>
              </w:rPr>
            </w:pPr>
            <w:r w:rsidRPr="00CB4582">
              <w:rPr>
                <w:lang w:val="en-IN"/>
              </w:rPr>
              <w:t>Tiffany’s established position and infrastructure</w:t>
            </w:r>
          </w:p>
        </w:tc>
        <w:tc>
          <w:tcPr>
            <w:tcW w:w="0" w:type="auto"/>
            <w:vAlign w:val="center"/>
            <w:hideMark/>
          </w:tcPr>
          <w:p w14:paraId="4C4A4CD4" w14:textId="42197B10" w:rsidR="00CB4582" w:rsidRPr="00CB4582" w:rsidRDefault="00CB4582" w:rsidP="00CB4582">
            <w:pPr>
              <w:pStyle w:val="BodyText"/>
              <w:spacing w:before="237"/>
              <w:ind w:right="359"/>
              <w:jc w:val="both"/>
              <w:rPr>
                <w:lang w:val="en-IN"/>
              </w:rPr>
            </w:pPr>
            <w:r w:rsidRPr="00CB4582">
              <w:rPr>
                <w:lang w:val="en-IN"/>
              </w:rPr>
              <w:t xml:space="preserve">11% global </w:t>
            </w:r>
            <w:r w:rsidR="00C270AC" w:rsidRPr="00CB4582">
              <w:rPr>
                <w:lang w:val="en-IN"/>
              </w:rPr>
              <w:t>jewellery</w:t>
            </w:r>
            <w:r w:rsidRPr="00CB4582">
              <w:rPr>
                <w:lang w:val="en-IN"/>
              </w:rPr>
              <w:t xml:space="preserve"> share and 321 prime retail locations</w:t>
            </w:r>
          </w:p>
        </w:tc>
      </w:tr>
      <w:tr w:rsidR="00CB4582" w:rsidRPr="00CB4582" w14:paraId="388E88F1" w14:textId="77777777" w:rsidTr="00CB4582">
        <w:trPr>
          <w:tblCellSpacing w:w="15" w:type="dxa"/>
        </w:trPr>
        <w:tc>
          <w:tcPr>
            <w:tcW w:w="0" w:type="auto"/>
            <w:vAlign w:val="center"/>
            <w:hideMark/>
          </w:tcPr>
          <w:p w14:paraId="0ED86EC4" w14:textId="77777777" w:rsidR="00CB4582" w:rsidRPr="00CB4582" w:rsidRDefault="00CB4582" w:rsidP="00CB4582">
            <w:pPr>
              <w:pStyle w:val="BodyText"/>
              <w:spacing w:before="237"/>
              <w:ind w:right="359"/>
              <w:jc w:val="both"/>
              <w:rPr>
                <w:lang w:val="en-IN"/>
              </w:rPr>
            </w:pPr>
            <w:r w:rsidRPr="00CB4582">
              <w:rPr>
                <w:b/>
                <w:bCs/>
                <w:lang w:val="en-IN"/>
              </w:rPr>
              <w:t>Proven Integration Model</w:t>
            </w:r>
          </w:p>
        </w:tc>
        <w:tc>
          <w:tcPr>
            <w:tcW w:w="0" w:type="auto"/>
            <w:vAlign w:val="center"/>
            <w:hideMark/>
          </w:tcPr>
          <w:p w14:paraId="201E205C" w14:textId="77777777" w:rsidR="00CB4582" w:rsidRPr="00CB4582" w:rsidRDefault="00CB4582" w:rsidP="00CB4582">
            <w:pPr>
              <w:pStyle w:val="BodyText"/>
              <w:spacing w:before="237"/>
              <w:ind w:right="359"/>
              <w:jc w:val="both"/>
              <w:rPr>
                <w:lang w:val="en-IN"/>
              </w:rPr>
            </w:pPr>
            <w:r w:rsidRPr="00CB4582">
              <w:rPr>
                <w:lang w:val="en-IN"/>
              </w:rPr>
              <w:t>Successful Bulgari acquisition provides playbook</w:t>
            </w:r>
          </w:p>
        </w:tc>
        <w:tc>
          <w:tcPr>
            <w:tcW w:w="0" w:type="auto"/>
            <w:vAlign w:val="center"/>
            <w:hideMark/>
          </w:tcPr>
          <w:p w14:paraId="3ECC2404" w14:textId="77777777" w:rsidR="00CB4582" w:rsidRPr="00CB4582" w:rsidRDefault="00CB4582" w:rsidP="00CB4582">
            <w:pPr>
              <w:pStyle w:val="BodyText"/>
              <w:spacing w:before="237"/>
              <w:ind w:right="359"/>
              <w:jc w:val="both"/>
              <w:rPr>
                <w:lang w:val="en-IN"/>
              </w:rPr>
            </w:pPr>
            <w:r w:rsidRPr="00CB4582">
              <w:rPr>
                <w:lang w:val="en-IN"/>
              </w:rPr>
              <w:t>Clear path to value creation and synergy realization</w:t>
            </w:r>
          </w:p>
        </w:tc>
      </w:tr>
    </w:tbl>
    <w:p w14:paraId="7D845AEC" w14:textId="77777777" w:rsidR="00267931" w:rsidRDefault="00267931">
      <w:pPr>
        <w:pStyle w:val="BodyText"/>
        <w:spacing w:before="237"/>
        <w:ind w:right="359"/>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8"/>
        <w:gridCol w:w="3744"/>
        <w:gridCol w:w="3928"/>
      </w:tblGrid>
      <w:tr w:rsidR="00CB4582" w:rsidRPr="00CB4582" w14:paraId="185A9918" w14:textId="77777777" w:rsidTr="00CB4582">
        <w:trPr>
          <w:tblHeader/>
          <w:tblCellSpacing w:w="15" w:type="dxa"/>
        </w:trPr>
        <w:tc>
          <w:tcPr>
            <w:tcW w:w="0" w:type="auto"/>
            <w:vAlign w:val="center"/>
            <w:hideMark/>
          </w:tcPr>
          <w:p w14:paraId="24A613BC" w14:textId="77777777" w:rsidR="00CB4582" w:rsidRPr="00CB4582" w:rsidRDefault="00CB4582" w:rsidP="00CB4582">
            <w:pPr>
              <w:pStyle w:val="BodyText"/>
              <w:spacing w:before="237"/>
              <w:ind w:right="359"/>
              <w:jc w:val="both"/>
              <w:rPr>
                <w:b/>
                <w:bCs/>
                <w:lang w:val="en-IN"/>
              </w:rPr>
            </w:pPr>
            <w:r w:rsidRPr="00CB4582">
              <w:rPr>
                <w:b/>
                <w:bCs/>
                <w:lang w:val="en-IN"/>
              </w:rPr>
              <w:t>Disadvantages</w:t>
            </w:r>
          </w:p>
        </w:tc>
        <w:tc>
          <w:tcPr>
            <w:tcW w:w="0" w:type="auto"/>
            <w:vAlign w:val="center"/>
            <w:hideMark/>
          </w:tcPr>
          <w:p w14:paraId="124FD3F7" w14:textId="77777777" w:rsidR="00CB4582" w:rsidRPr="00CB4582" w:rsidRDefault="00CB4582" w:rsidP="00CB4582">
            <w:pPr>
              <w:pStyle w:val="BodyText"/>
              <w:spacing w:before="237"/>
              <w:ind w:right="359"/>
              <w:jc w:val="both"/>
              <w:rPr>
                <w:b/>
                <w:bCs/>
                <w:lang w:val="en-IN"/>
              </w:rPr>
            </w:pPr>
            <w:r w:rsidRPr="00CB4582">
              <w:rPr>
                <w:b/>
                <w:bCs/>
                <w:lang w:val="en-IN"/>
              </w:rPr>
              <w:t>Description</w:t>
            </w:r>
          </w:p>
        </w:tc>
        <w:tc>
          <w:tcPr>
            <w:tcW w:w="0" w:type="auto"/>
            <w:vAlign w:val="center"/>
            <w:hideMark/>
          </w:tcPr>
          <w:p w14:paraId="1B8354D8" w14:textId="77777777" w:rsidR="00CB4582" w:rsidRPr="00CB4582" w:rsidRDefault="00CB4582" w:rsidP="00CB4582">
            <w:pPr>
              <w:pStyle w:val="BodyText"/>
              <w:spacing w:before="237"/>
              <w:ind w:right="359"/>
              <w:jc w:val="both"/>
              <w:rPr>
                <w:b/>
                <w:bCs/>
                <w:lang w:val="en-IN"/>
              </w:rPr>
            </w:pPr>
            <w:r w:rsidRPr="00CB4582">
              <w:rPr>
                <w:b/>
                <w:bCs/>
                <w:lang w:val="en-IN"/>
              </w:rPr>
              <w:t>Risk</w:t>
            </w:r>
          </w:p>
        </w:tc>
      </w:tr>
      <w:tr w:rsidR="00CB4582" w:rsidRPr="00CB4582" w14:paraId="72406CC3" w14:textId="77777777" w:rsidTr="00CB4582">
        <w:trPr>
          <w:tblCellSpacing w:w="15" w:type="dxa"/>
        </w:trPr>
        <w:tc>
          <w:tcPr>
            <w:tcW w:w="0" w:type="auto"/>
            <w:vAlign w:val="center"/>
            <w:hideMark/>
          </w:tcPr>
          <w:p w14:paraId="66AFF127" w14:textId="77777777" w:rsidR="00CB4582" w:rsidRPr="00CB4582" w:rsidRDefault="00CB4582" w:rsidP="00CB4582">
            <w:pPr>
              <w:pStyle w:val="BodyText"/>
              <w:spacing w:before="237"/>
              <w:ind w:right="359"/>
              <w:jc w:val="both"/>
              <w:rPr>
                <w:lang w:val="en-IN"/>
              </w:rPr>
            </w:pPr>
            <w:r w:rsidRPr="00CB4582">
              <w:rPr>
                <w:b/>
                <w:bCs/>
                <w:lang w:val="en-IN"/>
              </w:rPr>
              <w:t>Premium Valuation</w:t>
            </w:r>
          </w:p>
        </w:tc>
        <w:tc>
          <w:tcPr>
            <w:tcW w:w="0" w:type="auto"/>
            <w:vAlign w:val="center"/>
            <w:hideMark/>
          </w:tcPr>
          <w:p w14:paraId="06C3514B" w14:textId="77777777" w:rsidR="00CB4582" w:rsidRPr="00CB4582" w:rsidRDefault="00CB4582" w:rsidP="00CB4582">
            <w:pPr>
              <w:pStyle w:val="BodyText"/>
              <w:spacing w:before="237"/>
              <w:ind w:right="359"/>
              <w:jc w:val="both"/>
              <w:rPr>
                <w:lang w:val="en-IN"/>
              </w:rPr>
            </w:pPr>
            <w:r w:rsidRPr="00CB4582">
              <w:rPr>
                <w:lang w:val="en-IN"/>
              </w:rPr>
              <w:t>Must pay 30–50% premium in competitive environment</w:t>
            </w:r>
          </w:p>
        </w:tc>
        <w:tc>
          <w:tcPr>
            <w:tcW w:w="0" w:type="auto"/>
            <w:vAlign w:val="center"/>
            <w:hideMark/>
          </w:tcPr>
          <w:p w14:paraId="0E1261D9" w14:textId="77777777" w:rsidR="00CB4582" w:rsidRPr="00CB4582" w:rsidRDefault="00CB4582" w:rsidP="00CB4582">
            <w:pPr>
              <w:pStyle w:val="BodyText"/>
              <w:spacing w:before="237"/>
              <w:ind w:right="359"/>
              <w:jc w:val="both"/>
              <w:rPr>
                <w:lang w:val="en-IN"/>
              </w:rPr>
            </w:pPr>
            <w:r w:rsidRPr="00CB4582">
              <w:rPr>
                <w:lang w:val="en-IN"/>
              </w:rPr>
              <w:t>$120–140 per share vs. current $91.58 requires $14.6–17.1B</w:t>
            </w:r>
          </w:p>
        </w:tc>
      </w:tr>
      <w:tr w:rsidR="00CB4582" w:rsidRPr="00CB4582" w14:paraId="1BE6F522" w14:textId="77777777" w:rsidTr="00CB4582">
        <w:trPr>
          <w:tblCellSpacing w:w="15" w:type="dxa"/>
        </w:trPr>
        <w:tc>
          <w:tcPr>
            <w:tcW w:w="0" w:type="auto"/>
            <w:vAlign w:val="center"/>
            <w:hideMark/>
          </w:tcPr>
          <w:p w14:paraId="2C99781E" w14:textId="77777777" w:rsidR="00CB4582" w:rsidRPr="00CB4582" w:rsidRDefault="00CB4582" w:rsidP="00CB4582">
            <w:pPr>
              <w:pStyle w:val="BodyText"/>
              <w:spacing w:before="237"/>
              <w:ind w:right="359"/>
              <w:jc w:val="both"/>
              <w:rPr>
                <w:lang w:val="en-IN"/>
              </w:rPr>
            </w:pPr>
            <w:r w:rsidRPr="00CB4582">
              <w:rPr>
                <w:b/>
                <w:bCs/>
                <w:lang w:val="en-IN"/>
              </w:rPr>
              <w:t>Macro Headwinds</w:t>
            </w:r>
          </w:p>
        </w:tc>
        <w:tc>
          <w:tcPr>
            <w:tcW w:w="0" w:type="auto"/>
            <w:vAlign w:val="center"/>
            <w:hideMark/>
          </w:tcPr>
          <w:p w14:paraId="16A1D35E" w14:textId="77777777" w:rsidR="00CB4582" w:rsidRPr="00CB4582" w:rsidRDefault="00CB4582" w:rsidP="00CB4582">
            <w:pPr>
              <w:pStyle w:val="BodyText"/>
              <w:spacing w:before="237"/>
              <w:ind w:right="359"/>
              <w:jc w:val="both"/>
              <w:rPr>
                <w:lang w:val="en-IN"/>
              </w:rPr>
            </w:pPr>
            <w:r w:rsidRPr="00CB4582">
              <w:rPr>
                <w:lang w:val="en-IN"/>
              </w:rPr>
              <w:t>Hong Kong protests, US–China trade war, strong USD</w:t>
            </w:r>
          </w:p>
        </w:tc>
        <w:tc>
          <w:tcPr>
            <w:tcW w:w="0" w:type="auto"/>
            <w:vAlign w:val="center"/>
            <w:hideMark/>
          </w:tcPr>
          <w:p w14:paraId="59368707" w14:textId="77777777" w:rsidR="00CB4582" w:rsidRPr="00CB4582" w:rsidRDefault="00CB4582" w:rsidP="00CB4582">
            <w:pPr>
              <w:pStyle w:val="BodyText"/>
              <w:spacing w:before="237"/>
              <w:ind w:right="359"/>
              <w:jc w:val="both"/>
              <w:rPr>
                <w:lang w:val="en-IN"/>
              </w:rPr>
            </w:pPr>
            <w:r w:rsidRPr="00CB4582">
              <w:rPr>
                <w:lang w:val="en-IN"/>
              </w:rPr>
              <w:t>Near-term pressure on luxury spending and integration</w:t>
            </w:r>
          </w:p>
        </w:tc>
      </w:tr>
      <w:tr w:rsidR="00CB4582" w:rsidRPr="00CB4582" w14:paraId="2BA7DE28" w14:textId="77777777" w:rsidTr="00CB4582">
        <w:trPr>
          <w:tblCellSpacing w:w="15" w:type="dxa"/>
        </w:trPr>
        <w:tc>
          <w:tcPr>
            <w:tcW w:w="0" w:type="auto"/>
            <w:vAlign w:val="center"/>
            <w:hideMark/>
          </w:tcPr>
          <w:p w14:paraId="0656C7D0" w14:textId="77777777" w:rsidR="00CB4582" w:rsidRPr="00CB4582" w:rsidRDefault="00CB4582" w:rsidP="00CB4582">
            <w:pPr>
              <w:pStyle w:val="BodyText"/>
              <w:spacing w:before="237"/>
              <w:ind w:right="359"/>
              <w:jc w:val="both"/>
              <w:rPr>
                <w:lang w:val="en-IN"/>
              </w:rPr>
            </w:pPr>
            <w:r w:rsidRPr="00CB4582">
              <w:rPr>
                <w:b/>
                <w:bCs/>
                <w:lang w:val="en-IN"/>
              </w:rPr>
              <w:t>Integration Complexity</w:t>
            </w:r>
          </w:p>
        </w:tc>
        <w:tc>
          <w:tcPr>
            <w:tcW w:w="0" w:type="auto"/>
            <w:vAlign w:val="center"/>
            <w:hideMark/>
          </w:tcPr>
          <w:p w14:paraId="4A3C1B5A" w14:textId="77777777" w:rsidR="00CB4582" w:rsidRPr="00CB4582" w:rsidRDefault="00CB4582" w:rsidP="00CB4582">
            <w:pPr>
              <w:pStyle w:val="BodyText"/>
              <w:spacing w:before="237"/>
              <w:ind w:right="359"/>
              <w:jc w:val="both"/>
              <w:rPr>
                <w:lang w:val="en-IN"/>
              </w:rPr>
            </w:pPr>
            <w:r w:rsidRPr="00CB4582">
              <w:rPr>
                <w:lang w:val="en-IN"/>
              </w:rPr>
              <w:t>321 stores across multiple regions and channels</w:t>
            </w:r>
          </w:p>
        </w:tc>
        <w:tc>
          <w:tcPr>
            <w:tcW w:w="0" w:type="auto"/>
            <w:vAlign w:val="center"/>
            <w:hideMark/>
          </w:tcPr>
          <w:p w14:paraId="7EF22CA6" w14:textId="77777777" w:rsidR="00CB4582" w:rsidRPr="00CB4582" w:rsidRDefault="00CB4582" w:rsidP="00CB4582">
            <w:pPr>
              <w:pStyle w:val="BodyText"/>
              <w:spacing w:before="237"/>
              <w:ind w:right="359"/>
              <w:jc w:val="both"/>
              <w:rPr>
                <w:lang w:val="en-IN"/>
              </w:rPr>
            </w:pPr>
            <w:r w:rsidRPr="00CB4582">
              <w:rPr>
                <w:lang w:val="en-IN"/>
              </w:rPr>
              <w:t>Execution risk on synergy realization</w:t>
            </w:r>
          </w:p>
        </w:tc>
      </w:tr>
      <w:tr w:rsidR="00CB4582" w:rsidRPr="00CB4582" w14:paraId="64767526" w14:textId="77777777" w:rsidTr="00CB4582">
        <w:trPr>
          <w:tblCellSpacing w:w="15" w:type="dxa"/>
        </w:trPr>
        <w:tc>
          <w:tcPr>
            <w:tcW w:w="0" w:type="auto"/>
            <w:vAlign w:val="center"/>
            <w:hideMark/>
          </w:tcPr>
          <w:p w14:paraId="62027620" w14:textId="77777777" w:rsidR="00CB4582" w:rsidRPr="00CB4582" w:rsidRDefault="00CB4582" w:rsidP="00CB4582">
            <w:pPr>
              <w:pStyle w:val="BodyText"/>
              <w:spacing w:before="237"/>
              <w:ind w:right="359"/>
              <w:jc w:val="both"/>
              <w:rPr>
                <w:lang w:val="en-IN"/>
              </w:rPr>
            </w:pPr>
            <w:r w:rsidRPr="00CB4582">
              <w:rPr>
                <w:b/>
                <w:bCs/>
                <w:lang w:val="en-IN"/>
              </w:rPr>
              <w:t>Competitive Response</w:t>
            </w:r>
          </w:p>
        </w:tc>
        <w:tc>
          <w:tcPr>
            <w:tcW w:w="0" w:type="auto"/>
            <w:vAlign w:val="center"/>
            <w:hideMark/>
          </w:tcPr>
          <w:p w14:paraId="137AA26A" w14:textId="77777777" w:rsidR="00CB4582" w:rsidRPr="00CB4582" w:rsidRDefault="00CB4582" w:rsidP="00CB4582">
            <w:pPr>
              <w:pStyle w:val="BodyText"/>
              <w:spacing w:before="237"/>
              <w:ind w:right="359"/>
              <w:jc w:val="both"/>
              <w:rPr>
                <w:lang w:val="en-IN"/>
              </w:rPr>
            </w:pPr>
            <w:r w:rsidRPr="00CB4582">
              <w:rPr>
                <w:lang w:val="en-IN"/>
              </w:rPr>
              <w:t>Richemont, Kering may bid or retaliate</w:t>
            </w:r>
          </w:p>
        </w:tc>
        <w:tc>
          <w:tcPr>
            <w:tcW w:w="0" w:type="auto"/>
            <w:vAlign w:val="center"/>
            <w:hideMark/>
          </w:tcPr>
          <w:p w14:paraId="62B5687D" w14:textId="77777777" w:rsidR="00CB4582" w:rsidRPr="00CB4582" w:rsidRDefault="00CB4582" w:rsidP="00CB4582">
            <w:pPr>
              <w:pStyle w:val="BodyText"/>
              <w:spacing w:before="237"/>
              <w:ind w:right="359"/>
              <w:jc w:val="both"/>
              <w:rPr>
                <w:lang w:val="en-IN"/>
              </w:rPr>
            </w:pPr>
            <w:r w:rsidRPr="00CB4582">
              <w:rPr>
                <w:lang w:val="en-IN"/>
              </w:rPr>
              <w:t>Bidding war or competitive actions in other markets</w:t>
            </w:r>
          </w:p>
        </w:tc>
      </w:tr>
    </w:tbl>
    <w:p w14:paraId="4D0CECBF" w14:textId="3C98E897" w:rsidR="00CB4582" w:rsidRPr="00EF6A62" w:rsidRDefault="00CB4582" w:rsidP="00CB4582">
      <w:pPr>
        <w:pStyle w:val="BodyText"/>
        <w:spacing w:before="237"/>
        <w:ind w:right="359"/>
        <w:jc w:val="both"/>
        <w:rPr>
          <w:b/>
          <w:bCs/>
          <w:u w:val="single"/>
          <w:lang w:val="en-IN"/>
        </w:rPr>
      </w:pPr>
      <w:r w:rsidRPr="00EF6A62">
        <w:rPr>
          <w:b/>
          <w:bCs/>
          <w:u w:val="single"/>
          <w:lang w:val="en-IN"/>
        </w:rPr>
        <w:t xml:space="preserve">Strategic </w:t>
      </w:r>
      <w:r w:rsidR="00DC76F5" w:rsidRPr="00EF6A62">
        <w:rPr>
          <w:b/>
          <w:bCs/>
          <w:u w:val="single"/>
          <w:lang w:val="en-IN"/>
        </w:rPr>
        <w:t>analysis</w:t>
      </w:r>
    </w:p>
    <w:p w14:paraId="03E346D7" w14:textId="77777777" w:rsidR="00CB4582" w:rsidRPr="00CB4582" w:rsidRDefault="00CB4582" w:rsidP="00CB4582">
      <w:pPr>
        <w:pStyle w:val="BodyText"/>
        <w:spacing w:before="237"/>
        <w:ind w:right="359"/>
        <w:jc w:val="both"/>
        <w:rPr>
          <w:lang w:val="en-IN"/>
        </w:rPr>
      </w:pPr>
      <w:r w:rsidRPr="00CB4582">
        <w:rPr>
          <w:lang w:val="en-IN"/>
        </w:rPr>
        <w:t>The analysis demonstrates clear strategic merit for the transaction, with LVMH gaining critical scale in hard luxury and Tiffany accessing resources for global expansion. However, the asymmetric benefits—LVMH's strategic imperative versus Tiffany's optionality—combined with Tiffany's temporarily depressed valuation, create substantial leverage for demanding a premium that reflects both intrinsic value and long-term potential. The Board should use this leverage to maximize shareholder value while ensuring appropriate protections for Tiffany's iconic brand heritage.</w:t>
      </w:r>
    </w:p>
    <w:p w14:paraId="3ADC3ABB" w14:textId="77777777" w:rsidR="002661F8" w:rsidRDefault="002661F8" w:rsidP="007A0763">
      <w:pPr>
        <w:pStyle w:val="BodyText"/>
        <w:spacing w:before="237"/>
        <w:ind w:right="359"/>
        <w:rPr>
          <w:b/>
          <w:bCs/>
          <w:u w:val="single"/>
        </w:rPr>
      </w:pPr>
    </w:p>
    <w:p w14:paraId="1A4133FD" w14:textId="77777777" w:rsidR="002661F8" w:rsidRDefault="002661F8" w:rsidP="007A0763">
      <w:pPr>
        <w:pStyle w:val="BodyText"/>
        <w:spacing w:before="237"/>
        <w:ind w:right="359"/>
        <w:rPr>
          <w:b/>
          <w:bCs/>
          <w:u w:val="single"/>
        </w:rPr>
      </w:pPr>
    </w:p>
    <w:p w14:paraId="0BEB5C30" w14:textId="77777777" w:rsidR="009E44BC" w:rsidRDefault="009E44BC" w:rsidP="007A0763">
      <w:pPr>
        <w:pStyle w:val="BodyText"/>
        <w:spacing w:before="237"/>
        <w:ind w:right="359"/>
        <w:rPr>
          <w:b/>
          <w:bCs/>
          <w:u w:val="single"/>
        </w:rPr>
      </w:pPr>
    </w:p>
    <w:p w14:paraId="74210ACD" w14:textId="2DC5D9CC" w:rsidR="007A0763" w:rsidRPr="009E44BC" w:rsidRDefault="006E4256" w:rsidP="009E44BC">
      <w:pPr>
        <w:pStyle w:val="Heading1"/>
        <w:ind w:right="358"/>
        <w:rPr>
          <w:sz w:val="32"/>
          <w:szCs w:val="32"/>
        </w:rPr>
      </w:pPr>
      <w:bookmarkStart w:id="2" w:name="_Toc212896379"/>
      <w:r w:rsidRPr="009E44BC">
        <w:rPr>
          <w:sz w:val="32"/>
          <w:szCs w:val="32"/>
        </w:rPr>
        <w:t>Valuation Analysis</w:t>
      </w:r>
      <w:bookmarkEnd w:id="2"/>
    </w:p>
    <w:p w14:paraId="266EC124" w14:textId="05D163C6" w:rsidR="006E4256" w:rsidRDefault="006E4256" w:rsidP="007A0763">
      <w:pPr>
        <w:pStyle w:val="BodyText"/>
        <w:spacing w:before="237"/>
        <w:ind w:right="359"/>
      </w:pPr>
      <w:r w:rsidRPr="006E4256">
        <w:t>Our comprehensive valuation analysis employs multiple methodologies to establish Tiffany's fair value range. The valuation football field chart below illustrates the wide range of potential values depending on the methodology and assumptions used.</w:t>
      </w:r>
    </w:p>
    <w:p w14:paraId="4FD71E6F" w14:textId="77777777" w:rsidR="005B625A" w:rsidRDefault="005B625A" w:rsidP="007A0763">
      <w:pPr>
        <w:pStyle w:val="BodyText"/>
        <w:spacing w:before="237"/>
        <w:ind w:right="359"/>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1099"/>
        <w:gridCol w:w="1240"/>
        <w:gridCol w:w="1219"/>
        <w:gridCol w:w="1294"/>
      </w:tblGrid>
      <w:tr w:rsidR="006E4256" w:rsidRPr="006E4256" w14:paraId="0FB27504" w14:textId="77777777" w:rsidTr="006E4256">
        <w:trPr>
          <w:tblHeader/>
          <w:tblCellSpacing w:w="15" w:type="dxa"/>
          <w:jc w:val="center"/>
        </w:trPr>
        <w:tc>
          <w:tcPr>
            <w:tcW w:w="0" w:type="auto"/>
            <w:vAlign w:val="center"/>
            <w:hideMark/>
          </w:tcPr>
          <w:p w14:paraId="3C4005C2" w14:textId="77777777" w:rsidR="006E4256" w:rsidRPr="006E4256" w:rsidRDefault="006E4256" w:rsidP="006E4256">
            <w:pPr>
              <w:pStyle w:val="BodyText"/>
              <w:spacing w:before="237"/>
              <w:ind w:right="359"/>
              <w:rPr>
                <w:b/>
                <w:bCs/>
                <w:lang w:val="en-IN"/>
              </w:rPr>
            </w:pPr>
            <w:r w:rsidRPr="006E4256">
              <w:rPr>
                <w:b/>
                <w:bCs/>
                <w:lang w:val="en-IN"/>
              </w:rPr>
              <w:t>Method</w:t>
            </w:r>
          </w:p>
        </w:tc>
        <w:tc>
          <w:tcPr>
            <w:tcW w:w="0" w:type="auto"/>
            <w:vAlign w:val="center"/>
            <w:hideMark/>
          </w:tcPr>
          <w:p w14:paraId="7F29B06D" w14:textId="77777777" w:rsidR="006E4256" w:rsidRPr="006E4256" w:rsidRDefault="006E4256" w:rsidP="009D4772">
            <w:pPr>
              <w:pStyle w:val="BodyText"/>
              <w:spacing w:before="237"/>
              <w:ind w:right="359"/>
              <w:jc w:val="center"/>
              <w:rPr>
                <w:b/>
                <w:bCs/>
                <w:lang w:val="en-IN"/>
              </w:rPr>
            </w:pPr>
            <w:r w:rsidRPr="006E4256">
              <w:rPr>
                <w:b/>
                <w:bCs/>
                <w:lang w:val="en-IN"/>
              </w:rPr>
              <w:t>Low</w:t>
            </w:r>
          </w:p>
        </w:tc>
        <w:tc>
          <w:tcPr>
            <w:tcW w:w="0" w:type="auto"/>
            <w:vAlign w:val="center"/>
            <w:hideMark/>
          </w:tcPr>
          <w:p w14:paraId="7D623457" w14:textId="77777777" w:rsidR="006E4256" w:rsidRPr="006E4256" w:rsidRDefault="006E4256" w:rsidP="009D4772">
            <w:pPr>
              <w:pStyle w:val="BodyText"/>
              <w:spacing w:before="237"/>
              <w:ind w:right="359"/>
              <w:jc w:val="center"/>
              <w:rPr>
                <w:b/>
                <w:bCs/>
                <w:lang w:val="en-IN"/>
              </w:rPr>
            </w:pPr>
            <w:r w:rsidRPr="006E4256">
              <w:rPr>
                <w:b/>
                <w:bCs/>
                <w:lang w:val="en-IN"/>
              </w:rPr>
              <w:t>Implied</w:t>
            </w:r>
          </w:p>
        </w:tc>
        <w:tc>
          <w:tcPr>
            <w:tcW w:w="0" w:type="auto"/>
            <w:vAlign w:val="center"/>
            <w:hideMark/>
          </w:tcPr>
          <w:p w14:paraId="3B7ED96E" w14:textId="77777777" w:rsidR="006E4256" w:rsidRPr="006E4256" w:rsidRDefault="006E4256" w:rsidP="009D4772">
            <w:pPr>
              <w:pStyle w:val="BodyText"/>
              <w:spacing w:before="237"/>
              <w:ind w:right="359"/>
              <w:jc w:val="center"/>
              <w:rPr>
                <w:b/>
                <w:bCs/>
                <w:lang w:val="en-IN"/>
              </w:rPr>
            </w:pPr>
            <w:r w:rsidRPr="006E4256">
              <w:rPr>
                <w:b/>
                <w:bCs/>
                <w:lang w:val="en-IN"/>
              </w:rPr>
              <w:t>High</w:t>
            </w:r>
          </w:p>
        </w:tc>
        <w:tc>
          <w:tcPr>
            <w:tcW w:w="0" w:type="auto"/>
            <w:vAlign w:val="center"/>
            <w:hideMark/>
          </w:tcPr>
          <w:p w14:paraId="0C681320" w14:textId="77777777" w:rsidR="006E4256" w:rsidRPr="006E4256" w:rsidRDefault="006E4256" w:rsidP="009D4772">
            <w:pPr>
              <w:pStyle w:val="BodyText"/>
              <w:spacing w:before="237"/>
              <w:ind w:right="359"/>
              <w:jc w:val="center"/>
              <w:rPr>
                <w:b/>
                <w:bCs/>
                <w:lang w:val="en-IN"/>
              </w:rPr>
            </w:pPr>
            <w:r w:rsidRPr="006E4256">
              <w:rPr>
                <w:b/>
                <w:bCs/>
                <w:lang w:val="en-IN"/>
              </w:rPr>
              <w:t>Weights</w:t>
            </w:r>
          </w:p>
        </w:tc>
      </w:tr>
      <w:tr w:rsidR="006E4256" w:rsidRPr="006E4256" w14:paraId="17DD3F44" w14:textId="77777777" w:rsidTr="006E4256">
        <w:trPr>
          <w:tblCellSpacing w:w="15" w:type="dxa"/>
          <w:jc w:val="center"/>
        </w:trPr>
        <w:tc>
          <w:tcPr>
            <w:tcW w:w="0" w:type="auto"/>
            <w:vAlign w:val="center"/>
            <w:hideMark/>
          </w:tcPr>
          <w:p w14:paraId="4C3FCB62" w14:textId="77777777" w:rsidR="006E4256" w:rsidRPr="006E4256" w:rsidRDefault="006E4256" w:rsidP="006E4256">
            <w:pPr>
              <w:pStyle w:val="BodyText"/>
              <w:spacing w:before="237"/>
              <w:ind w:right="359"/>
              <w:rPr>
                <w:lang w:val="en-IN"/>
              </w:rPr>
            </w:pPr>
            <w:r w:rsidRPr="006E4256">
              <w:rPr>
                <w:b/>
                <w:bCs/>
                <w:lang w:val="en-IN"/>
              </w:rPr>
              <w:t>DCF</w:t>
            </w:r>
          </w:p>
        </w:tc>
        <w:tc>
          <w:tcPr>
            <w:tcW w:w="0" w:type="auto"/>
            <w:vAlign w:val="center"/>
            <w:hideMark/>
          </w:tcPr>
          <w:p w14:paraId="466A3988" w14:textId="77777777" w:rsidR="006E4256" w:rsidRPr="006E4256" w:rsidRDefault="006E4256" w:rsidP="009D4772">
            <w:pPr>
              <w:pStyle w:val="BodyText"/>
              <w:spacing w:before="237"/>
              <w:ind w:right="359"/>
              <w:jc w:val="center"/>
              <w:rPr>
                <w:lang w:val="en-IN"/>
              </w:rPr>
            </w:pPr>
            <w:r w:rsidRPr="006E4256">
              <w:rPr>
                <w:lang w:val="en-IN"/>
              </w:rPr>
              <w:t>$71.86</w:t>
            </w:r>
          </w:p>
        </w:tc>
        <w:tc>
          <w:tcPr>
            <w:tcW w:w="0" w:type="auto"/>
            <w:vAlign w:val="center"/>
            <w:hideMark/>
          </w:tcPr>
          <w:p w14:paraId="742DE275" w14:textId="77777777" w:rsidR="006E4256" w:rsidRPr="006E4256" w:rsidRDefault="006E4256" w:rsidP="009D4772">
            <w:pPr>
              <w:pStyle w:val="BodyText"/>
              <w:spacing w:before="237"/>
              <w:ind w:right="359"/>
              <w:jc w:val="center"/>
              <w:rPr>
                <w:lang w:val="en-IN"/>
              </w:rPr>
            </w:pPr>
            <w:r w:rsidRPr="006E4256">
              <w:rPr>
                <w:lang w:val="en-IN"/>
              </w:rPr>
              <w:t>$105.23</w:t>
            </w:r>
          </w:p>
        </w:tc>
        <w:tc>
          <w:tcPr>
            <w:tcW w:w="0" w:type="auto"/>
            <w:vAlign w:val="center"/>
            <w:hideMark/>
          </w:tcPr>
          <w:p w14:paraId="1F558A5B" w14:textId="77777777" w:rsidR="006E4256" w:rsidRPr="006E4256" w:rsidRDefault="006E4256" w:rsidP="009D4772">
            <w:pPr>
              <w:pStyle w:val="BodyText"/>
              <w:spacing w:before="237"/>
              <w:ind w:right="359"/>
              <w:jc w:val="center"/>
              <w:rPr>
                <w:lang w:val="en-IN"/>
              </w:rPr>
            </w:pPr>
            <w:r w:rsidRPr="006E4256">
              <w:rPr>
                <w:lang w:val="en-IN"/>
              </w:rPr>
              <w:t>$216.66</w:t>
            </w:r>
          </w:p>
        </w:tc>
        <w:tc>
          <w:tcPr>
            <w:tcW w:w="0" w:type="auto"/>
            <w:vAlign w:val="center"/>
            <w:hideMark/>
          </w:tcPr>
          <w:p w14:paraId="2FA9959C" w14:textId="77777777" w:rsidR="006E4256" w:rsidRPr="006E4256" w:rsidRDefault="006E4256" w:rsidP="009D4772">
            <w:pPr>
              <w:pStyle w:val="BodyText"/>
              <w:spacing w:before="237"/>
              <w:ind w:right="359"/>
              <w:jc w:val="center"/>
              <w:rPr>
                <w:lang w:val="en-IN"/>
              </w:rPr>
            </w:pPr>
            <w:r w:rsidRPr="006E4256">
              <w:rPr>
                <w:lang w:val="en-IN"/>
              </w:rPr>
              <w:t>20%</w:t>
            </w:r>
          </w:p>
        </w:tc>
      </w:tr>
      <w:tr w:rsidR="006E4256" w:rsidRPr="006E4256" w14:paraId="7694B791" w14:textId="77777777" w:rsidTr="006E4256">
        <w:trPr>
          <w:tblCellSpacing w:w="15" w:type="dxa"/>
          <w:jc w:val="center"/>
        </w:trPr>
        <w:tc>
          <w:tcPr>
            <w:tcW w:w="0" w:type="auto"/>
            <w:vAlign w:val="center"/>
            <w:hideMark/>
          </w:tcPr>
          <w:p w14:paraId="1DD0D305" w14:textId="77777777" w:rsidR="006E4256" w:rsidRPr="006E4256" w:rsidRDefault="006E4256" w:rsidP="006E4256">
            <w:pPr>
              <w:pStyle w:val="BodyText"/>
              <w:spacing w:before="237"/>
              <w:ind w:right="359"/>
              <w:rPr>
                <w:lang w:val="en-IN"/>
              </w:rPr>
            </w:pPr>
            <w:r w:rsidRPr="006E4256">
              <w:rPr>
                <w:b/>
                <w:bCs/>
                <w:lang w:val="en-IN"/>
              </w:rPr>
              <w:t>EV/Revenue</w:t>
            </w:r>
          </w:p>
        </w:tc>
        <w:tc>
          <w:tcPr>
            <w:tcW w:w="0" w:type="auto"/>
            <w:vAlign w:val="center"/>
            <w:hideMark/>
          </w:tcPr>
          <w:p w14:paraId="6F3C2CF2" w14:textId="77777777" w:rsidR="006E4256" w:rsidRPr="006E4256" w:rsidRDefault="006E4256" w:rsidP="009D4772">
            <w:pPr>
              <w:pStyle w:val="BodyText"/>
              <w:spacing w:before="237"/>
              <w:ind w:right="359"/>
              <w:jc w:val="center"/>
              <w:rPr>
                <w:lang w:val="en-IN"/>
              </w:rPr>
            </w:pPr>
            <w:r w:rsidRPr="006E4256">
              <w:rPr>
                <w:lang w:val="en-IN"/>
              </w:rPr>
              <w:t>$34.52</w:t>
            </w:r>
          </w:p>
        </w:tc>
        <w:tc>
          <w:tcPr>
            <w:tcW w:w="0" w:type="auto"/>
            <w:vAlign w:val="center"/>
            <w:hideMark/>
          </w:tcPr>
          <w:p w14:paraId="729540B7" w14:textId="77777777" w:rsidR="006E4256" w:rsidRPr="006E4256" w:rsidRDefault="006E4256" w:rsidP="009D4772">
            <w:pPr>
              <w:pStyle w:val="BodyText"/>
              <w:spacing w:before="237"/>
              <w:ind w:right="359"/>
              <w:jc w:val="center"/>
              <w:rPr>
                <w:lang w:val="en-IN"/>
              </w:rPr>
            </w:pPr>
            <w:r w:rsidRPr="006E4256">
              <w:rPr>
                <w:lang w:val="en-IN"/>
              </w:rPr>
              <w:t>$108.42</w:t>
            </w:r>
          </w:p>
        </w:tc>
        <w:tc>
          <w:tcPr>
            <w:tcW w:w="0" w:type="auto"/>
            <w:vAlign w:val="center"/>
            <w:hideMark/>
          </w:tcPr>
          <w:p w14:paraId="62E08F9C" w14:textId="77777777" w:rsidR="006E4256" w:rsidRPr="006E4256" w:rsidRDefault="006E4256" w:rsidP="009D4772">
            <w:pPr>
              <w:pStyle w:val="BodyText"/>
              <w:spacing w:before="237"/>
              <w:ind w:right="359"/>
              <w:jc w:val="center"/>
              <w:rPr>
                <w:lang w:val="en-IN"/>
              </w:rPr>
            </w:pPr>
            <w:r w:rsidRPr="006E4256">
              <w:rPr>
                <w:lang w:val="en-IN"/>
              </w:rPr>
              <w:t>$293.77</w:t>
            </w:r>
          </w:p>
        </w:tc>
        <w:tc>
          <w:tcPr>
            <w:tcW w:w="0" w:type="auto"/>
            <w:vAlign w:val="center"/>
            <w:hideMark/>
          </w:tcPr>
          <w:p w14:paraId="5BF2397F" w14:textId="77777777" w:rsidR="006E4256" w:rsidRPr="006E4256" w:rsidRDefault="006E4256" w:rsidP="009D4772">
            <w:pPr>
              <w:pStyle w:val="BodyText"/>
              <w:spacing w:before="237"/>
              <w:ind w:right="359"/>
              <w:jc w:val="center"/>
              <w:rPr>
                <w:lang w:val="en-IN"/>
              </w:rPr>
            </w:pPr>
            <w:r w:rsidRPr="006E4256">
              <w:rPr>
                <w:lang w:val="en-IN"/>
              </w:rPr>
              <w:t>20%</w:t>
            </w:r>
          </w:p>
        </w:tc>
      </w:tr>
      <w:tr w:rsidR="006E4256" w:rsidRPr="006E4256" w14:paraId="4DC92116" w14:textId="77777777" w:rsidTr="006E4256">
        <w:trPr>
          <w:tblCellSpacing w:w="15" w:type="dxa"/>
          <w:jc w:val="center"/>
        </w:trPr>
        <w:tc>
          <w:tcPr>
            <w:tcW w:w="0" w:type="auto"/>
            <w:vAlign w:val="center"/>
            <w:hideMark/>
          </w:tcPr>
          <w:p w14:paraId="42532E3C" w14:textId="77777777" w:rsidR="006E4256" w:rsidRPr="006E4256" w:rsidRDefault="006E4256" w:rsidP="006E4256">
            <w:pPr>
              <w:pStyle w:val="BodyText"/>
              <w:spacing w:before="237"/>
              <w:ind w:right="359"/>
              <w:rPr>
                <w:lang w:val="en-IN"/>
              </w:rPr>
            </w:pPr>
            <w:r w:rsidRPr="006E4256">
              <w:rPr>
                <w:b/>
                <w:bCs/>
                <w:lang w:val="en-IN"/>
              </w:rPr>
              <w:t>EV/EBITDA</w:t>
            </w:r>
          </w:p>
        </w:tc>
        <w:tc>
          <w:tcPr>
            <w:tcW w:w="0" w:type="auto"/>
            <w:vAlign w:val="center"/>
            <w:hideMark/>
          </w:tcPr>
          <w:p w14:paraId="0C2197AE" w14:textId="77777777" w:rsidR="006E4256" w:rsidRPr="006E4256" w:rsidRDefault="006E4256" w:rsidP="009D4772">
            <w:pPr>
              <w:pStyle w:val="BodyText"/>
              <w:spacing w:before="237"/>
              <w:ind w:right="359"/>
              <w:jc w:val="center"/>
              <w:rPr>
                <w:lang w:val="en-IN"/>
              </w:rPr>
            </w:pPr>
            <w:r w:rsidRPr="006E4256">
              <w:rPr>
                <w:lang w:val="en-IN"/>
              </w:rPr>
              <w:t>$47.49</w:t>
            </w:r>
          </w:p>
        </w:tc>
        <w:tc>
          <w:tcPr>
            <w:tcW w:w="0" w:type="auto"/>
            <w:vAlign w:val="center"/>
            <w:hideMark/>
          </w:tcPr>
          <w:p w14:paraId="7FC4A68E" w14:textId="77777777" w:rsidR="006E4256" w:rsidRPr="006E4256" w:rsidRDefault="006E4256" w:rsidP="009D4772">
            <w:pPr>
              <w:pStyle w:val="BodyText"/>
              <w:spacing w:before="237"/>
              <w:ind w:right="359"/>
              <w:jc w:val="center"/>
              <w:rPr>
                <w:lang w:val="en-IN"/>
              </w:rPr>
            </w:pPr>
            <w:r w:rsidRPr="006E4256">
              <w:rPr>
                <w:lang w:val="en-IN"/>
              </w:rPr>
              <w:t>$94.62</w:t>
            </w:r>
          </w:p>
        </w:tc>
        <w:tc>
          <w:tcPr>
            <w:tcW w:w="0" w:type="auto"/>
            <w:vAlign w:val="center"/>
            <w:hideMark/>
          </w:tcPr>
          <w:p w14:paraId="36368634" w14:textId="77777777" w:rsidR="006E4256" w:rsidRPr="006E4256" w:rsidRDefault="006E4256" w:rsidP="009D4772">
            <w:pPr>
              <w:pStyle w:val="BodyText"/>
              <w:spacing w:before="237"/>
              <w:ind w:right="359"/>
              <w:jc w:val="center"/>
              <w:rPr>
                <w:lang w:val="en-IN"/>
              </w:rPr>
            </w:pPr>
            <w:r w:rsidRPr="006E4256">
              <w:rPr>
                <w:lang w:val="en-IN"/>
              </w:rPr>
              <w:t>$233.51</w:t>
            </w:r>
          </w:p>
        </w:tc>
        <w:tc>
          <w:tcPr>
            <w:tcW w:w="0" w:type="auto"/>
            <w:vAlign w:val="center"/>
            <w:hideMark/>
          </w:tcPr>
          <w:p w14:paraId="64C75307" w14:textId="77777777" w:rsidR="006E4256" w:rsidRPr="006E4256" w:rsidRDefault="006E4256" w:rsidP="009D4772">
            <w:pPr>
              <w:pStyle w:val="BodyText"/>
              <w:spacing w:before="237"/>
              <w:ind w:right="359"/>
              <w:jc w:val="center"/>
              <w:rPr>
                <w:lang w:val="en-IN"/>
              </w:rPr>
            </w:pPr>
            <w:r w:rsidRPr="006E4256">
              <w:rPr>
                <w:lang w:val="en-IN"/>
              </w:rPr>
              <w:t>20%</w:t>
            </w:r>
          </w:p>
        </w:tc>
      </w:tr>
      <w:tr w:rsidR="006E4256" w:rsidRPr="006E4256" w14:paraId="1D961F2F" w14:textId="77777777" w:rsidTr="006E4256">
        <w:trPr>
          <w:tblCellSpacing w:w="15" w:type="dxa"/>
          <w:jc w:val="center"/>
        </w:trPr>
        <w:tc>
          <w:tcPr>
            <w:tcW w:w="0" w:type="auto"/>
            <w:vAlign w:val="center"/>
            <w:hideMark/>
          </w:tcPr>
          <w:p w14:paraId="38073843" w14:textId="77777777" w:rsidR="006E4256" w:rsidRPr="006E4256" w:rsidRDefault="006E4256" w:rsidP="006E4256">
            <w:pPr>
              <w:pStyle w:val="BodyText"/>
              <w:spacing w:before="237"/>
              <w:ind w:right="359"/>
              <w:rPr>
                <w:lang w:val="en-IN"/>
              </w:rPr>
            </w:pPr>
            <w:r w:rsidRPr="006E4256">
              <w:rPr>
                <w:b/>
                <w:bCs/>
                <w:lang w:val="en-IN"/>
              </w:rPr>
              <w:t>EV/EBIT</w:t>
            </w:r>
          </w:p>
        </w:tc>
        <w:tc>
          <w:tcPr>
            <w:tcW w:w="0" w:type="auto"/>
            <w:vAlign w:val="center"/>
            <w:hideMark/>
          </w:tcPr>
          <w:p w14:paraId="08063211" w14:textId="77777777" w:rsidR="006E4256" w:rsidRPr="006E4256" w:rsidRDefault="006E4256" w:rsidP="009D4772">
            <w:pPr>
              <w:pStyle w:val="BodyText"/>
              <w:spacing w:before="237"/>
              <w:ind w:right="359"/>
              <w:jc w:val="center"/>
              <w:rPr>
                <w:lang w:val="en-IN"/>
              </w:rPr>
            </w:pPr>
            <w:r w:rsidRPr="006E4256">
              <w:rPr>
                <w:lang w:val="en-IN"/>
              </w:rPr>
              <w:t>$62.88</w:t>
            </w:r>
          </w:p>
        </w:tc>
        <w:tc>
          <w:tcPr>
            <w:tcW w:w="0" w:type="auto"/>
            <w:vAlign w:val="center"/>
            <w:hideMark/>
          </w:tcPr>
          <w:p w14:paraId="70BB73D7" w14:textId="77777777" w:rsidR="006E4256" w:rsidRPr="006E4256" w:rsidRDefault="006E4256" w:rsidP="009D4772">
            <w:pPr>
              <w:pStyle w:val="BodyText"/>
              <w:spacing w:before="237"/>
              <w:ind w:right="359"/>
              <w:jc w:val="center"/>
              <w:rPr>
                <w:lang w:val="en-IN"/>
              </w:rPr>
            </w:pPr>
            <w:r w:rsidRPr="006E4256">
              <w:rPr>
                <w:lang w:val="en-IN"/>
              </w:rPr>
              <w:t>$135.00</w:t>
            </w:r>
          </w:p>
        </w:tc>
        <w:tc>
          <w:tcPr>
            <w:tcW w:w="0" w:type="auto"/>
            <w:vAlign w:val="center"/>
            <w:hideMark/>
          </w:tcPr>
          <w:p w14:paraId="6257EBC0" w14:textId="77777777" w:rsidR="006E4256" w:rsidRPr="006E4256" w:rsidRDefault="006E4256" w:rsidP="009D4772">
            <w:pPr>
              <w:pStyle w:val="BodyText"/>
              <w:spacing w:before="237"/>
              <w:ind w:right="359"/>
              <w:jc w:val="center"/>
              <w:rPr>
                <w:lang w:val="en-IN"/>
              </w:rPr>
            </w:pPr>
            <w:r w:rsidRPr="006E4256">
              <w:rPr>
                <w:lang w:val="en-IN"/>
              </w:rPr>
              <w:t>$515.40</w:t>
            </w:r>
          </w:p>
        </w:tc>
        <w:tc>
          <w:tcPr>
            <w:tcW w:w="0" w:type="auto"/>
            <w:vAlign w:val="center"/>
            <w:hideMark/>
          </w:tcPr>
          <w:p w14:paraId="61FC0D46" w14:textId="77777777" w:rsidR="006E4256" w:rsidRPr="006E4256" w:rsidRDefault="006E4256" w:rsidP="009D4772">
            <w:pPr>
              <w:pStyle w:val="BodyText"/>
              <w:spacing w:before="237"/>
              <w:ind w:right="359"/>
              <w:jc w:val="center"/>
              <w:rPr>
                <w:lang w:val="en-IN"/>
              </w:rPr>
            </w:pPr>
            <w:r w:rsidRPr="006E4256">
              <w:rPr>
                <w:lang w:val="en-IN"/>
              </w:rPr>
              <w:t>20%</w:t>
            </w:r>
          </w:p>
        </w:tc>
      </w:tr>
      <w:tr w:rsidR="006E4256" w:rsidRPr="006E4256" w14:paraId="19AD0DCC" w14:textId="77777777" w:rsidTr="006E4256">
        <w:trPr>
          <w:tblCellSpacing w:w="15" w:type="dxa"/>
          <w:jc w:val="center"/>
        </w:trPr>
        <w:tc>
          <w:tcPr>
            <w:tcW w:w="0" w:type="auto"/>
            <w:vAlign w:val="center"/>
            <w:hideMark/>
          </w:tcPr>
          <w:p w14:paraId="2336FF01" w14:textId="77777777" w:rsidR="006E4256" w:rsidRPr="006E4256" w:rsidRDefault="006E4256" w:rsidP="006E4256">
            <w:pPr>
              <w:pStyle w:val="BodyText"/>
              <w:spacing w:before="237"/>
              <w:ind w:right="359"/>
              <w:rPr>
                <w:lang w:val="en-IN"/>
              </w:rPr>
            </w:pPr>
            <w:r w:rsidRPr="006E4256">
              <w:rPr>
                <w:b/>
                <w:bCs/>
                <w:lang w:val="en-IN"/>
              </w:rPr>
              <w:t>P/E</w:t>
            </w:r>
          </w:p>
        </w:tc>
        <w:tc>
          <w:tcPr>
            <w:tcW w:w="0" w:type="auto"/>
            <w:vAlign w:val="center"/>
            <w:hideMark/>
          </w:tcPr>
          <w:p w14:paraId="0FE1944B" w14:textId="77777777" w:rsidR="006E4256" w:rsidRPr="006E4256" w:rsidRDefault="006E4256" w:rsidP="009D4772">
            <w:pPr>
              <w:pStyle w:val="BodyText"/>
              <w:spacing w:before="237"/>
              <w:ind w:right="359"/>
              <w:jc w:val="center"/>
              <w:rPr>
                <w:lang w:val="en-IN"/>
              </w:rPr>
            </w:pPr>
            <w:r w:rsidRPr="006E4256">
              <w:rPr>
                <w:lang w:val="en-IN"/>
              </w:rPr>
              <w:t>$36.55</w:t>
            </w:r>
          </w:p>
        </w:tc>
        <w:tc>
          <w:tcPr>
            <w:tcW w:w="0" w:type="auto"/>
            <w:vAlign w:val="center"/>
            <w:hideMark/>
          </w:tcPr>
          <w:p w14:paraId="5C02CD4C" w14:textId="77777777" w:rsidR="006E4256" w:rsidRPr="006E4256" w:rsidRDefault="006E4256" w:rsidP="009D4772">
            <w:pPr>
              <w:pStyle w:val="BodyText"/>
              <w:spacing w:before="237"/>
              <w:ind w:right="359"/>
              <w:jc w:val="center"/>
              <w:rPr>
                <w:lang w:val="en-IN"/>
              </w:rPr>
            </w:pPr>
            <w:r w:rsidRPr="006E4256">
              <w:rPr>
                <w:lang w:val="en-IN"/>
              </w:rPr>
              <w:t>$91.48</w:t>
            </w:r>
          </w:p>
        </w:tc>
        <w:tc>
          <w:tcPr>
            <w:tcW w:w="0" w:type="auto"/>
            <w:vAlign w:val="center"/>
            <w:hideMark/>
          </w:tcPr>
          <w:p w14:paraId="728AC475" w14:textId="77777777" w:rsidR="006E4256" w:rsidRPr="006E4256" w:rsidRDefault="006E4256" w:rsidP="009D4772">
            <w:pPr>
              <w:pStyle w:val="BodyText"/>
              <w:spacing w:before="237"/>
              <w:ind w:right="359"/>
              <w:jc w:val="center"/>
              <w:rPr>
                <w:lang w:val="en-IN"/>
              </w:rPr>
            </w:pPr>
            <w:r w:rsidRPr="006E4256">
              <w:rPr>
                <w:lang w:val="en-IN"/>
              </w:rPr>
              <w:t>$134.69</w:t>
            </w:r>
          </w:p>
        </w:tc>
        <w:tc>
          <w:tcPr>
            <w:tcW w:w="0" w:type="auto"/>
            <w:vAlign w:val="center"/>
            <w:hideMark/>
          </w:tcPr>
          <w:p w14:paraId="509FB344" w14:textId="77777777" w:rsidR="006E4256" w:rsidRPr="006E4256" w:rsidRDefault="006E4256" w:rsidP="009D4772">
            <w:pPr>
              <w:pStyle w:val="BodyText"/>
              <w:spacing w:before="237"/>
              <w:ind w:right="359"/>
              <w:jc w:val="center"/>
              <w:rPr>
                <w:lang w:val="en-IN"/>
              </w:rPr>
            </w:pPr>
            <w:r w:rsidRPr="006E4256">
              <w:rPr>
                <w:lang w:val="en-IN"/>
              </w:rPr>
              <w:t>20%</w:t>
            </w:r>
          </w:p>
        </w:tc>
      </w:tr>
      <w:tr w:rsidR="006E4256" w:rsidRPr="006E4256" w14:paraId="23242719" w14:textId="77777777" w:rsidTr="006E4256">
        <w:trPr>
          <w:tblCellSpacing w:w="15" w:type="dxa"/>
          <w:jc w:val="center"/>
        </w:trPr>
        <w:tc>
          <w:tcPr>
            <w:tcW w:w="0" w:type="auto"/>
            <w:vAlign w:val="center"/>
            <w:hideMark/>
          </w:tcPr>
          <w:p w14:paraId="1EF719A3" w14:textId="77777777" w:rsidR="006E4256" w:rsidRPr="006E4256" w:rsidRDefault="006E4256" w:rsidP="006E4256">
            <w:pPr>
              <w:pStyle w:val="BodyText"/>
              <w:spacing w:before="237"/>
              <w:ind w:right="359"/>
              <w:rPr>
                <w:lang w:val="en-IN"/>
              </w:rPr>
            </w:pPr>
            <w:r w:rsidRPr="006E4256">
              <w:rPr>
                <w:b/>
                <w:bCs/>
                <w:lang w:val="en-IN"/>
              </w:rPr>
              <w:t>Weighted Average</w:t>
            </w:r>
          </w:p>
        </w:tc>
        <w:tc>
          <w:tcPr>
            <w:tcW w:w="0" w:type="auto"/>
            <w:vAlign w:val="center"/>
            <w:hideMark/>
          </w:tcPr>
          <w:p w14:paraId="089F437B" w14:textId="77777777" w:rsidR="006E4256" w:rsidRPr="006E4256" w:rsidRDefault="006E4256" w:rsidP="009D4772">
            <w:pPr>
              <w:pStyle w:val="BodyText"/>
              <w:spacing w:before="237"/>
              <w:ind w:right="359"/>
              <w:jc w:val="center"/>
              <w:rPr>
                <w:lang w:val="en-IN"/>
              </w:rPr>
            </w:pPr>
          </w:p>
        </w:tc>
        <w:tc>
          <w:tcPr>
            <w:tcW w:w="0" w:type="auto"/>
            <w:vAlign w:val="center"/>
            <w:hideMark/>
          </w:tcPr>
          <w:p w14:paraId="60EC812D" w14:textId="77777777" w:rsidR="006E4256" w:rsidRPr="006E4256" w:rsidRDefault="006E4256" w:rsidP="009D4772">
            <w:pPr>
              <w:pStyle w:val="BodyText"/>
              <w:spacing w:before="237"/>
              <w:ind w:right="359"/>
              <w:jc w:val="center"/>
              <w:rPr>
                <w:lang w:val="en-IN"/>
              </w:rPr>
            </w:pPr>
            <w:r w:rsidRPr="006E4256">
              <w:rPr>
                <w:b/>
                <w:bCs/>
                <w:lang w:val="en-IN"/>
              </w:rPr>
              <w:t>$106.95</w:t>
            </w:r>
          </w:p>
        </w:tc>
        <w:tc>
          <w:tcPr>
            <w:tcW w:w="0" w:type="auto"/>
            <w:vAlign w:val="center"/>
            <w:hideMark/>
          </w:tcPr>
          <w:p w14:paraId="6C247DBA" w14:textId="77777777" w:rsidR="006E4256" w:rsidRPr="006E4256" w:rsidRDefault="006E4256" w:rsidP="009D4772">
            <w:pPr>
              <w:pStyle w:val="BodyText"/>
              <w:spacing w:before="237"/>
              <w:ind w:right="359"/>
              <w:jc w:val="center"/>
              <w:rPr>
                <w:lang w:val="en-IN"/>
              </w:rPr>
            </w:pPr>
          </w:p>
        </w:tc>
        <w:tc>
          <w:tcPr>
            <w:tcW w:w="0" w:type="auto"/>
            <w:vAlign w:val="center"/>
            <w:hideMark/>
          </w:tcPr>
          <w:p w14:paraId="4EF8355E" w14:textId="77777777" w:rsidR="006E4256" w:rsidRPr="006E4256" w:rsidRDefault="006E4256" w:rsidP="009D4772">
            <w:pPr>
              <w:pStyle w:val="BodyText"/>
              <w:spacing w:before="237"/>
              <w:ind w:right="359"/>
              <w:jc w:val="center"/>
              <w:rPr>
                <w:lang w:val="en-IN"/>
              </w:rPr>
            </w:pPr>
            <w:r w:rsidRPr="006E4256">
              <w:rPr>
                <w:b/>
                <w:bCs/>
                <w:lang w:val="en-IN"/>
              </w:rPr>
              <w:t>100%</w:t>
            </w:r>
          </w:p>
        </w:tc>
      </w:tr>
    </w:tbl>
    <w:p w14:paraId="4EBB6395" w14:textId="77777777" w:rsidR="002661F8" w:rsidRDefault="002661F8" w:rsidP="007A0763">
      <w:pPr>
        <w:pStyle w:val="BodyText"/>
        <w:spacing w:before="237"/>
        <w:ind w:right="359"/>
        <w:rPr>
          <w:b/>
          <w:bCs/>
          <w:u w:val="single"/>
        </w:rPr>
      </w:pPr>
    </w:p>
    <w:p w14:paraId="2023148E" w14:textId="52743252" w:rsidR="006E4256" w:rsidRPr="00EF6A62" w:rsidRDefault="006E4256" w:rsidP="007A0763">
      <w:pPr>
        <w:pStyle w:val="BodyText"/>
        <w:spacing w:before="237"/>
        <w:ind w:right="359"/>
        <w:rPr>
          <w:b/>
          <w:bCs/>
          <w:u w:val="single"/>
        </w:rPr>
      </w:pPr>
      <w:r w:rsidRPr="00EF6A62">
        <w:rPr>
          <w:b/>
          <w:bCs/>
          <w:u w:val="single"/>
        </w:rPr>
        <w:t>Premium Analysis</w:t>
      </w:r>
    </w:p>
    <w:p w14:paraId="5F9C226D" w14:textId="77777777" w:rsidR="006E4256" w:rsidRDefault="006E4256" w:rsidP="007A0763">
      <w:pPr>
        <w:pStyle w:val="BodyText"/>
        <w:spacing w:before="237"/>
        <w:ind w:right="359"/>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54"/>
        <w:gridCol w:w="1461"/>
      </w:tblGrid>
      <w:tr w:rsidR="006E4256" w:rsidRPr="006E4256" w14:paraId="63EF62FE" w14:textId="77777777" w:rsidTr="006E4256">
        <w:trPr>
          <w:tblHeader/>
          <w:tblCellSpacing w:w="15" w:type="dxa"/>
          <w:jc w:val="center"/>
        </w:trPr>
        <w:tc>
          <w:tcPr>
            <w:tcW w:w="0" w:type="auto"/>
            <w:vAlign w:val="center"/>
            <w:hideMark/>
          </w:tcPr>
          <w:p w14:paraId="1F48EE04" w14:textId="77777777" w:rsidR="006E4256" w:rsidRPr="006E4256" w:rsidRDefault="006E4256" w:rsidP="006E4256">
            <w:pPr>
              <w:pStyle w:val="BodyText"/>
              <w:spacing w:before="237"/>
              <w:ind w:right="359"/>
              <w:rPr>
                <w:b/>
                <w:bCs/>
                <w:lang w:val="en-IN"/>
              </w:rPr>
            </w:pPr>
            <w:r w:rsidRPr="006E4256">
              <w:rPr>
                <w:b/>
                <w:bCs/>
                <w:lang w:val="en-IN"/>
              </w:rPr>
              <w:t>Metric</w:t>
            </w:r>
          </w:p>
        </w:tc>
        <w:tc>
          <w:tcPr>
            <w:tcW w:w="0" w:type="auto"/>
            <w:vAlign w:val="center"/>
            <w:hideMark/>
          </w:tcPr>
          <w:p w14:paraId="4BDFCE05" w14:textId="77777777" w:rsidR="006E4256" w:rsidRPr="006E4256" w:rsidRDefault="006E4256" w:rsidP="006E4256">
            <w:pPr>
              <w:pStyle w:val="BodyText"/>
              <w:spacing w:before="237"/>
              <w:ind w:right="359"/>
              <w:rPr>
                <w:b/>
                <w:bCs/>
                <w:lang w:val="en-IN"/>
              </w:rPr>
            </w:pPr>
            <w:r w:rsidRPr="006E4256">
              <w:rPr>
                <w:b/>
                <w:bCs/>
                <w:lang w:val="en-IN"/>
              </w:rPr>
              <w:t>Value</w:t>
            </w:r>
          </w:p>
        </w:tc>
      </w:tr>
      <w:tr w:rsidR="006E4256" w:rsidRPr="006E4256" w14:paraId="132CB79E" w14:textId="77777777" w:rsidTr="006E4256">
        <w:trPr>
          <w:tblCellSpacing w:w="15" w:type="dxa"/>
          <w:jc w:val="center"/>
        </w:trPr>
        <w:tc>
          <w:tcPr>
            <w:tcW w:w="0" w:type="auto"/>
            <w:vAlign w:val="center"/>
            <w:hideMark/>
          </w:tcPr>
          <w:p w14:paraId="71B5878E" w14:textId="77777777" w:rsidR="006E4256" w:rsidRPr="006E4256" w:rsidRDefault="006E4256" w:rsidP="006E4256">
            <w:pPr>
              <w:pStyle w:val="BodyText"/>
              <w:spacing w:before="237"/>
              <w:ind w:right="359"/>
              <w:rPr>
                <w:lang w:val="en-IN"/>
              </w:rPr>
            </w:pPr>
            <w:r w:rsidRPr="006E4256">
              <w:rPr>
                <w:b/>
                <w:bCs/>
                <w:lang w:val="en-IN"/>
              </w:rPr>
              <w:t>30% Premium over Implied Value/Share</w:t>
            </w:r>
          </w:p>
        </w:tc>
        <w:tc>
          <w:tcPr>
            <w:tcW w:w="0" w:type="auto"/>
            <w:vAlign w:val="center"/>
            <w:hideMark/>
          </w:tcPr>
          <w:p w14:paraId="5C1E5842" w14:textId="77777777" w:rsidR="006E4256" w:rsidRPr="006E4256" w:rsidRDefault="006E4256" w:rsidP="006E4256">
            <w:pPr>
              <w:pStyle w:val="BodyText"/>
              <w:spacing w:before="237"/>
              <w:ind w:right="359"/>
              <w:rPr>
                <w:lang w:val="en-IN"/>
              </w:rPr>
            </w:pPr>
            <w:r w:rsidRPr="006E4256">
              <w:rPr>
                <w:lang w:val="en-IN"/>
              </w:rPr>
              <w:t>$139</w:t>
            </w:r>
          </w:p>
        </w:tc>
      </w:tr>
      <w:tr w:rsidR="006E4256" w:rsidRPr="006E4256" w14:paraId="1A82958D" w14:textId="77777777" w:rsidTr="006E4256">
        <w:trPr>
          <w:tblCellSpacing w:w="15" w:type="dxa"/>
          <w:jc w:val="center"/>
        </w:trPr>
        <w:tc>
          <w:tcPr>
            <w:tcW w:w="0" w:type="auto"/>
            <w:vAlign w:val="center"/>
            <w:hideMark/>
          </w:tcPr>
          <w:p w14:paraId="358CE17F" w14:textId="77777777" w:rsidR="006E4256" w:rsidRPr="006E4256" w:rsidRDefault="006E4256" w:rsidP="006E4256">
            <w:pPr>
              <w:pStyle w:val="BodyText"/>
              <w:spacing w:before="237"/>
              <w:ind w:right="359"/>
              <w:rPr>
                <w:lang w:val="en-IN"/>
              </w:rPr>
            </w:pPr>
            <w:r w:rsidRPr="006E4256">
              <w:rPr>
                <w:b/>
                <w:bCs/>
                <w:lang w:val="en-IN"/>
              </w:rPr>
              <w:t>Shares Outstanding</w:t>
            </w:r>
          </w:p>
        </w:tc>
        <w:tc>
          <w:tcPr>
            <w:tcW w:w="0" w:type="auto"/>
            <w:vAlign w:val="center"/>
            <w:hideMark/>
          </w:tcPr>
          <w:p w14:paraId="78B38858" w14:textId="77777777" w:rsidR="006E4256" w:rsidRPr="006E4256" w:rsidRDefault="006E4256" w:rsidP="006E4256">
            <w:pPr>
              <w:pStyle w:val="BodyText"/>
              <w:spacing w:before="237"/>
              <w:ind w:right="359"/>
              <w:rPr>
                <w:lang w:val="en-IN"/>
              </w:rPr>
            </w:pPr>
            <w:r w:rsidRPr="006E4256">
              <w:rPr>
                <w:lang w:val="en-IN"/>
              </w:rPr>
              <w:t>122M</w:t>
            </w:r>
          </w:p>
        </w:tc>
      </w:tr>
      <w:tr w:rsidR="006E4256" w:rsidRPr="006E4256" w14:paraId="6A719D5C" w14:textId="77777777" w:rsidTr="006E4256">
        <w:trPr>
          <w:tblCellSpacing w:w="15" w:type="dxa"/>
          <w:jc w:val="center"/>
        </w:trPr>
        <w:tc>
          <w:tcPr>
            <w:tcW w:w="0" w:type="auto"/>
            <w:vAlign w:val="center"/>
            <w:hideMark/>
          </w:tcPr>
          <w:p w14:paraId="1EB0062F" w14:textId="77777777" w:rsidR="006E4256" w:rsidRPr="006E4256" w:rsidRDefault="006E4256" w:rsidP="006E4256">
            <w:pPr>
              <w:pStyle w:val="BodyText"/>
              <w:spacing w:before="237"/>
              <w:ind w:right="359"/>
              <w:rPr>
                <w:lang w:val="en-IN"/>
              </w:rPr>
            </w:pPr>
            <w:r w:rsidRPr="006E4256">
              <w:rPr>
                <w:b/>
                <w:bCs/>
                <w:lang w:val="en-IN"/>
              </w:rPr>
              <w:t>Equity Value after Premium</w:t>
            </w:r>
          </w:p>
        </w:tc>
        <w:tc>
          <w:tcPr>
            <w:tcW w:w="0" w:type="auto"/>
            <w:vAlign w:val="center"/>
            <w:hideMark/>
          </w:tcPr>
          <w:p w14:paraId="61EA093F" w14:textId="77777777" w:rsidR="006E4256" w:rsidRPr="006E4256" w:rsidRDefault="006E4256" w:rsidP="006E4256">
            <w:pPr>
              <w:pStyle w:val="BodyText"/>
              <w:spacing w:before="237"/>
              <w:ind w:right="359"/>
              <w:rPr>
                <w:lang w:val="en-IN"/>
              </w:rPr>
            </w:pPr>
            <w:r w:rsidRPr="006E4256">
              <w:rPr>
                <w:b/>
                <w:bCs/>
                <w:lang w:val="en-IN"/>
              </w:rPr>
              <w:t>$16,962M</w:t>
            </w:r>
          </w:p>
        </w:tc>
      </w:tr>
    </w:tbl>
    <w:p w14:paraId="717474C5" w14:textId="55EA5EEE" w:rsidR="00C4284C" w:rsidRDefault="00C4284C" w:rsidP="000B2B3F">
      <w:pPr>
        <w:pStyle w:val="BodyText"/>
        <w:spacing w:before="237"/>
        <w:ind w:right="359"/>
        <w:jc w:val="center"/>
        <w:rPr>
          <w:lang w:val="en-IN"/>
        </w:rPr>
      </w:pPr>
      <w:r>
        <w:rPr>
          <w:noProof/>
        </w:rPr>
        <w:lastRenderedPageBreak/>
        <w:drawing>
          <wp:inline distT="0" distB="0" distL="0" distR="0" wp14:anchorId="1B48B551" wp14:editId="38C9415C">
            <wp:extent cx="5391150" cy="4000655"/>
            <wp:effectExtent l="0" t="0" r="0" b="0"/>
            <wp:docPr id="9" name="Picture 8">
              <a:extLst xmlns:a="http://schemas.openxmlformats.org/drawingml/2006/main">
                <a:ext uri="{FF2B5EF4-FFF2-40B4-BE49-F238E27FC236}">
                  <a16:creationId xmlns:a16="http://schemas.microsoft.com/office/drawing/2014/main" id="{7CE5BFDB-943B-9C54-CEBD-9887188F1C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CE5BFDB-943B-9C54-CEBD-9887188F1C9D}"/>
                        </a:ext>
                      </a:extLst>
                    </pic:cNvPr>
                    <pic:cNvPicPr>
                      <a:picLocks noChangeAspect="1"/>
                    </pic:cNvPicPr>
                  </pic:nvPicPr>
                  <pic:blipFill>
                    <a:blip r:embed="rId12"/>
                    <a:stretch>
                      <a:fillRect/>
                    </a:stretch>
                  </pic:blipFill>
                  <pic:spPr>
                    <a:xfrm>
                      <a:off x="0" y="0"/>
                      <a:ext cx="5395081" cy="4003572"/>
                    </a:xfrm>
                    <a:prstGeom prst="rect">
                      <a:avLst/>
                    </a:prstGeom>
                  </pic:spPr>
                </pic:pic>
              </a:graphicData>
            </a:graphic>
          </wp:inline>
        </w:drawing>
      </w:r>
    </w:p>
    <w:p w14:paraId="1313AF36" w14:textId="3BBE38C0" w:rsidR="00C4284C" w:rsidRDefault="00C4284C" w:rsidP="009D4772">
      <w:pPr>
        <w:pStyle w:val="BodyText"/>
        <w:spacing w:before="237"/>
        <w:ind w:right="359"/>
        <w:jc w:val="both"/>
        <w:rPr>
          <w:lang w:val="en-IN"/>
        </w:rPr>
      </w:pPr>
      <w:r w:rsidRPr="00C4284C">
        <w:rPr>
          <w:lang w:val="en-IN"/>
        </w:rPr>
        <w:t xml:space="preserve">The valuation analysis reveals an extremely wide range from $34.52 to $515.40 per share, reflecting the uncertainty inherent in luxury goods valuation and the sensitivity to different methodologies. The most reliable range clusters between $71.86 and $216.66 per share, with the weighted average of all methodologies yielding </w:t>
      </w:r>
      <w:r w:rsidRPr="00C4284C">
        <w:rPr>
          <w:b/>
          <w:bCs/>
          <w:lang w:val="en-IN"/>
        </w:rPr>
        <w:t>$106.95 per share</w:t>
      </w:r>
      <w:r w:rsidRPr="00C4284C">
        <w:rPr>
          <w:lang w:val="en-IN"/>
        </w:rPr>
        <w:t xml:space="preserve"> as our best estimate of Tiffany's intrinsic stand-alone value. This is notably higher than the current trading price of $91.58, suggesting the market is undervaluing Tiffany due to temporary headwinds.</w:t>
      </w:r>
    </w:p>
    <w:p w14:paraId="21E3BE20" w14:textId="1BDD47AE" w:rsidR="00C4284C" w:rsidRPr="00C4284C" w:rsidRDefault="00C4284C" w:rsidP="009D4772">
      <w:pPr>
        <w:pStyle w:val="BodyText"/>
        <w:spacing w:before="237"/>
        <w:ind w:right="359"/>
        <w:jc w:val="both"/>
        <w:rPr>
          <w:lang w:val="en-IN"/>
        </w:rPr>
      </w:pPr>
      <w:r w:rsidRPr="00C4284C">
        <w:rPr>
          <w:lang w:val="en-IN"/>
        </w:rPr>
        <w:t xml:space="preserve">Our DCF analysis, which we consider the most fundamental approach, values Tiffany at </w:t>
      </w:r>
      <w:r w:rsidRPr="00C4284C">
        <w:rPr>
          <w:b/>
          <w:bCs/>
          <w:lang w:val="en-IN"/>
        </w:rPr>
        <w:t>$105.23 per share</w:t>
      </w:r>
      <w:r w:rsidRPr="00C4284C">
        <w:rPr>
          <w:lang w:val="en-IN"/>
        </w:rPr>
        <w:t xml:space="preserve"> based on conservative growth assumptions (4% Americas, 7% Asia Pacific), a WACC of 7.11% reflecting current market conditions, terminal growth of 2.5% aligned with GDP expectations, and detailed 8-year cash flow projections. The relative valuation methods show significant variation, with EV/Revenue ($108.42) and EV/EBIT ($135.00) suggesting higher values while EV/EBITDA ($94.62) and P/E ($91.48) suggest lower values, reflecting differences in profitability and growth expectations across comparable companies. The Bulgari acquisition precedent of 29x EBIT and 60% premium would imply a value well above $150 per share, providing strong support for aggressive negotiation.</w:t>
      </w:r>
    </w:p>
    <w:p w14:paraId="036185D0" w14:textId="4389E685" w:rsidR="006E4256" w:rsidRPr="00EF6A62" w:rsidRDefault="00C4284C" w:rsidP="009D4772">
      <w:pPr>
        <w:pStyle w:val="BodyText"/>
        <w:spacing w:before="237"/>
        <w:ind w:right="359"/>
        <w:jc w:val="both"/>
        <w:rPr>
          <w:b/>
          <w:bCs/>
          <w:u w:val="single"/>
        </w:rPr>
      </w:pPr>
      <w:r w:rsidRPr="00EF6A62">
        <w:rPr>
          <w:b/>
          <w:bCs/>
          <w:u w:val="single"/>
        </w:rPr>
        <w:t>Negotiation Implications</w:t>
      </w:r>
    </w:p>
    <w:p w14:paraId="2311FA4D" w14:textId="77777777" w:rsidR="00C4284C" w:rsidRPr="00C4284C" w:rsidRDefault="00C4284C" w:rsidP="009D4772">
      <w:pPr>
        <w:pStyle w:val="BodyText"/>
        <w:spacing w:before="237"/>
        <w:ind w:right="359"/>
        <w:jc w:val="both"/>
        <w:rPr>
          <w:lang w:val="en-IN"/>
        </w:rPr>
      </w:pPr>
      <w:r w:rsidRPr="00C4284C">
        <w:rPr>
          <w:lang w:val="en-IN"/>
        </w:rPr>
        <w:t xml:space="preserve">Based on this comprehensive analysis, we establish clear price targets for negotiations. The minimum acceptable price of $120 per share represents a modest 14% premium to intrinsic value, below which shareholders would be better off remaining independent. Our target price range of $135-140 per share represents a 26-31% premium to intrinsic value, fairly allocating synergy value between parties and aligning with the 30% premium benchmark of $139. The opening position should be $150+ per share </w:t>
      </w:r>
      <w:r w:rsidRPr="00C4284C">
        <w:rPr>
          <w:lang w:val="en-IN"/>
        </w:rPr>
        <w:lastRenderedPageBreak/>
        <w:t>to anchor negotiations at the upper end of the range, supported by the Bulgari precedent and high-end multiples while creating room for negotiation.</w:t>
      </w:r>
    </w:p>
    <w:p w14:paraId="0E1A0108" w14:textId="33888478" w:rsidR="006E4256" w:rsidRPr="00C4284C" w:rsidRDefault="00C4284C" w:rsidP="009D4772">
      <w:pPr>
        <w:pStyle w:val="BodyText"/>
        <w:spacing w:before="237"/>
        <w:ind w:right="359"/>
        <w:jc w:val="both"/>
        <w:rPr>
          <w:lang w:val="en-IN"/>
        </w:rPr>
      </w:pPr>
      <w:r w:rsidRPr="00C4284C">
        <w:rPr>
          <w:lang w:val="en-IN"/>
        </w:rPr>
        <w:t xml:space="preserve">The football field visualization clearly shows that at the current trading price of $91.58, Tiffany is trading below its intrinsic value range. LVMH's expected offer must adequately compensate shareholders not only for this intrinsic value but also for the substantial synergies LVMH will realize, Tiffany's scarcity value as the last major independent luxury </w:t>
      </w:r>
      <w:proofErr w:type="spellStart"/>
      <w:r w:rsidRPr="00C4284C">
        <w:rPr>
          <w:lang w:val="en-IN"/>
        </w:rPr>
        <w:t>jeweler</w:t>
      </w:r>
      <w:proofErr w:type="spellEnd"/>
      <w:r w:rsidRPr="00C4284C">
        <w:rPr>
          <w:lang w:val="en-IN"/>
        </w:rPr>
        <w:t>, and the loss of future upside from the turnaround plan. Any offer below $120 would transfer too much value to LVMH shareholders and should be rejected. The optimal outcome would be a negotiated price in the $135-140 range, which appropriately rewards Tiffany shareholders while still allowing LVMH to create value through the combination.</w:t>
      </w:r>
    </w:p>
    <w:p w14:paraId="032EDB62" w14:textId="5270E1CA" w:rsidR="006E4256" w:rsidRPr="009E44BC" w:rsidRDefault="006E4256" w:rsidP="009E44BC">
      <w:pPr>
        <w:pStyle w:val="Heading1"/>
        <w:ind w:right="358"/>
        <w:rPr>
          <w:sz w:val="32"/>
          <w:szCs w:val="32"/>
        </w:rPr>
      </w:pPr>
      <w:bookmarkStart w:id="3" w:name="_Toc212896380"/>
      <w:r w:rsidRPr="00EF6A62">
        <w:rPr>
          <w:sz w:val="32"/>
          <w:szCs w:val="32"/>
        </w:rPr>
        <w:t>Key Value Drivers</w:t>
      </w:r>
      <w:bookmarkEnd w:id="3"/>
    </w:p>
    <w:p w14:paraId="6DDED9E7" w14:textId="42F8B5DA" w:rsidR="002661F8" w:rsidRDefault="002661F8" w:rsidP="002661F8">
      <w:pPr>
        <w:pStyle w:val="BodyText"/>
        <w:spacing w:before="237"/>
        <w:ind w:right="359"/>
        <w:jc w:val="center"/>
        <w:rPr>
          <w:b/>
          <w:bCs/>
          <w:u w:val="single"/>
          <w:lang w:val="en-IN"/>
        </w:rPr>
      </w:pPr>
      <w:r w:rsidRPr="002661F8">
        <w:rPr>
          <w:b/>
          <w:bCs/>
          <w:u w:val="single"/>
          <w:lang w:val="en-IN"/>
        </w:rPr>
        <w:drawing>
          <wp:inline distT="0" distB="0" distL="0" distR="0" wp14:anchorId="61D12537" wp14:editId="25B3CF97">
            <wp:extent cx="5543550" cy="2679383"/>
            <wp:effectExtent l="0" t="0" r="0" b="6985"/>
            <wp:docPr id="7547485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7111" cy="2681104"/>
                    </a:xfrm>
                    <a:prstGeom prst="rect">
                      <a:avLst/>
                    </a:prstGeom>
                    <a:noFill/>
                    <a:ln>
                      <a:noFill/>
                    </a:ln>
                  </pic:spPr>
                </pic:pic>
              </a:graphicData>
            </a:graphic>
          </wp:inline>
        </w:drawing>
      </w:r>
    </w:p>
    <w:p w14:paraId="119AECC6" w14:textId="3DE3F946" w:rsidR="006E4256" w:rsidRPr="00EF6A62" w:rsidRDefault="006E4256" w:rsidP="009D4772">
      <w:pPr>
        <w:pStyle w:val="BodyText"/>
        <w:spacing w:before="237"/>
        <w:ind w:right="359"/>
        <w:jc w:val="both"/>
        <w:rPr>
          <w:b/>
          <w:bCs/>
          <w:u w:val="single"/>
          <w:lang w:val="en-IN"/>
        </w:rPr>
      </w:pPr>
      <w:r w:rsidRPr="00EF6A62">
        <w:rPr>
          <w:b/>
          <w:bCs/>
          <w:u w:val="single"/>
          <w:lang w:val="en-IN"/>
        </w:rPr>
        <w:t>Revenue Growth Drivers</w:t>
      </w:r>
    </w:p>
    <w:p w14:paraId="7F7A3088" w14:textId="77777777" w:rsidR="006E4256" w:rsidRPr="006E4256" w:rsidRDefault="006E4256" w:rsidP="009D4772">
      <w:pPr>
        <w:pStyle w:val="BodyText"/>
        <w:spacing w:before="237"/>
        <w:ind w:right="359"/>
        <w:jc w:val="both"/>
        <w:rPr>
          <w:lang w:val="en-IN"/>
        </w:rPr>
      </w:pPr>
      <w:r w:rsidRPr="00EF6A62">
        <w:rPr>
          <w:b/>
          <w:bCs/>
          <w:i/>
          <w:iCs/>
          <w:lang w:val="en-IN"/>
        </w:rPr>
        <w:t>China and Asia Pacific Expansion</w:t>
      </w:r>
      <w:r w:rsidRPr="006E4256">
        <w:rPr>
          <w:b/>
          <w:bCs/>
          <w:lang w:val="en-IN"/>
        </w:rPr>
        <w:t>:</w:t>
      </w:r>
      <w:r w:rsidRPr="006E4256">
        <w:rPr>
          <w:lang w:val="en-IN"/>
        </w:rPr>
        <w:t xml:space="preserve"> The most critical growth driver is China, where consumers will represent 46% of global luxury purchases by 2025. Tiffany has achieved double-digit growth for six consecutive quarters in the region. With LVMH's infrastructure, the projected 7% growth could accelerate to 10-12%, adding $200-300M in incremental revenue.</w:t>
      </w:r>
    </w:p>
    <w:p w14:paraId="0DA4D1FD" w14:textId="77777777" w:rsidR="006E4256" w:rsidRPr="006E4256" w:rsidRDefault="006E4256" w:rsidP="009D4772">
      <w:pPr>
        <w:pStyle w:val="BodyText"/>
        <w:spacing w:before="237"/>
        <w:ind w:right="359"/>
        <w:jc w:val="both"/>
        <w:rPr>
          <w:lang w:val="en-IN"/>
        </w:rPr>
      </w:pPr>
      <w:r w:rsidRPr="00EF6A62">
        <w:rPr>
          <w:b/>
          <w:bCs/>
          <w:i/>
          <w:iCs/>
          <w:lang w:val="en-IN"/>
        </w:rPr>
        <w:t>European Market Penetration</w:t>
      </w:r>
      <w:r w:rsidRPr="006E4256">
        <w:rPr>
          <w:b/>
          <w:bCs/>
          <w:lang w:val="en-IN"/>
        </w:rPr>
        <w:t>:</w:t>
      </w:r>
      <w:r w:rsidRPr="006E4256">
        <w:rPr>
          <w:lang w:val="en-IN"/>
        </w:rPr>
        <w:t xml:space="preserve"> Europe is Tiffany's largest untapped opportunity, generating only 11% of revenue versus 45% from Americas. LVMH's distribution network could double European revenue from $504M to over $1B within five years through the projected 12 percentage point growth acceleration.</w:t>
      </w:r>
    </w:p>
    <w:p w14:paraId="6F76CDB3" w14:textId="0DB83A3C" w:rsidR="009D4772" w:rsidRPr="00D46619" w:rsidRDefault="006E4256" w:rsidP="009D4772">
      <w:pPr>
        <w:pStyle w:val="BodyText"/>
        <w:spacing w:before="237"/>
        <w:ind w:right="359"/>
        <w:jc w:val="both"/>
        <w:rPr>
          <w:lang w:val="en-IN"/>
        </w:rPr>
      </w:pPr>
      <w:r w:rsidRPr="00EF6A62">
        <w:rPr>
          <w:b/>
          <w:bCs/>
          <w:i/>
          <w:iCs/>
          <w:lang w:val="en-IN"/>
        </w:rPr>
        <w:t>Product Innovation</w:t>
      </w:r>
      <w:r w:rsidRPr="006E4256">
        <w:rPr>
          <w:b/>
          <w:bCs/>
          <w:lang w:val="en-IN"/>
        </w:rPr>
        <w:t>:</w:t>
      </w:r>
      <w:r w:rsidRPr="006E4256">
        <w:rPr>
          <w:lang w:val="en-IN"/>
        </w:rPr>
        <w:t xml:space="preserve"> Expanding the underpenetrated watches category leveraging LVMH's expertise, while modernizing the portfolio for millennials, could add 10-15% to revenue and create pricing power of 3-5% annually.</w:t>
      </w:r>
    </w:p>
    <w:p w14:paraId="774B7AD2" w14:textId="77777777" w:rsidR="002661F8" w:rsidRDefault="002661F8" w:rsidP="009D4772">
      <w:pPr>
        <w:pStyle w:val="BodyText"/>
        <w:spacing w:before="237"/>
        <w:ind w:right="359"/>
        <w:jc w:val="both"/>
        <w:rPr>
          <w:b/>
          <w:bCs/>
          <w:u w:val="single"/>
          <w:lang w:val="en-IN"/>
        </w:rPr>
      </w:pPr>
    </w:p>
    <w:p w14:paraId="51C15DD0" w14:textId="5A653267" w:rsidR="006E4256" w:rsidRPr="00EF6A62" w:rsidRDefault="006E4256" w:rsidP="009D4772">
      <w:pPr>
        <w:pStyle w:val="BodyText"/>
        <w:spacing w:before="237"/>
        <w:ind w:right="359"/>
        <w:jc w:val="both"/>
        <w:rPr>
          <w:b/>
          <w:bCs/>
          <w:u w:val="single"/>
          <w:lang w:val="en-IN"/>
        </w:rPr>
      </w:pPr>
      <w:r w:rsidRPr="00EF6A62">
        <w:rPr>
          <w:b/>
          <w:bCs/>
          <w:u w:val="single"/>
          <w:lang w:val="en-IN"/>
        </w:rPr>
        <w:lastRenderedPageBreak/>
        <w:t>Margin Enhancement Drivers</w:t>
      </w:r>
    </w:p>
    <w:p w14:paraId="0238C4AA" w14:textId="77777777" w:rsidR="006E4256" w:rsidRPr="006E4256" w:rsidRDefault="006E4256" w:rsidP="009D4772">
      <w:pPr>
        <w:pStyle w:val="BodyText"/>
        <w:spacing w:before="237"/>
        <w:ind w:right="359"/>
        <w:jc w:val="both"/>
        <w:rPr>
          <w:lang w:val="en-IN"/>
        </w:rPr>
      </w:pPr>
      <w:r w:rsidRPr="00EF6A62">
        <w:rPr>
          <w:b/>
          <w:bCs/>
          <w:i/>
          <w:iCs/>
          <w:lang w:val="en-IN"/>
        </w:rPr>
        <w:t>Procurement Synergies</w:t>
      </w:r>
      <w:r w:rsidRPr="006E4256">
        <w:rPr>
          <w:b/>
          <w:bCs/>
          <w:lang w:val="en-IN"/>
        </w:rPr>
        <w:t>:</w:t>
      </w:r>
      <w:r w:rsidRPr="006E4256">
        <w:rPr>
          <w:lang w:val="en-IN"/>
        </w:rPr>
        <w:t xml:space="preserve"> LVMH's scale in precious metals and diamonds would deliver gross margin improvements of 5% in Europe and 4% in other regions, generating $100-150M in additional annual gross profit.</w:t>
      </w:r>
    </w:p>
    <w:p w14:paraId="56DD67E7" w14:textId="77777777" w:rsidR="006E4256" w:rsidRPr="006E4256" w:rsidRDefault="006E4256" w:rsidP="009D4772">
      <w:pPr>
        <w:pStyle w:val="BodyText"/>
        <w:spacing w:before="237"/>
        <w:ind w:right="359"/>
        <w:jc w:val="both"/>
        <w:rPr>
          <w:lang w:val="en-IN"/>
        </w:rPr>
      </w:pPr>
      <w:r w:rsidRPr="00EF6A62">
        <w:rPr>
          <w:b/>
          <w:bCs/>
          <w:i/>
          <w:iCs/>
          <w:lang w:val="en-IN"/>
        </w:rPr>
        <w:t>Operational Efficiency</w:t>
      </w:r>
      <w:r w:rsidRPr="006E4256">
        <w:rPr>
          <w:b/>
          <w:bCs/>
          <w:lang w:val="en-IN"/>
        </w:rPr>
        <w:t>:</w:t>
      </w:r>
      <w:r w:rsidRPr="006E4256">
        <w:rPr>
          <w:lang w:val="en-IN"/>
        </w:rPr>
        <w:t xml:space="preserve"> Working capital optimization improving turnover by 50% (from 1.46x to 2.2x) would free up $300-400M in cash. SG&amp;A reduction from 45.6% to 45% of revenue through shared services would further enhance profitability.</w:t>
      </w:r>
    </w:p>
    <w:p w14:paraId="06E7E0F7" w14:textId="77777777" w:rsidR="006E4256" w:rsidRPr="006E4256" w:rsidRDefault="006E4256" w:rsidP="009D4772">
      <w:pPr>
        <w:pStyle w:val="BodyText"/>
        <w:spacing w:before="237"/>
        <w:ind w:right="359"/>
        <w:jc w:val="both"/>
        <w:rPr>
          <w:lang w:val="en-IN"/>
        </w:rPr>
      </w:pPr>
      <w:r w:rsidRPr="00EF6A62">
        <w:rPr>
          <w:b/>
          <w:bCs/>
          <w:i/>
          <w:iCs/>
          <w:lang w:val="en-IN"/>
        </w:rPr>
        <w:t>Product Mix Shift</w:t>
      </w:r>
      <w:r w:rsidRPr="006E4256">
        <w:rPr>
          <w:b/>
          <w:bCs/>
          <w:lang w:val="en-IN"/>
        </w:rPr>
        <w:t>:</w:t>
      </w:r>
      <w:r w:rsidRPr="006E4256">
        <w:rPr>
          <w:lang w:val="en-IN"/>
        </w:rPr>
        <w:t xml:space="preserve"> Focus on higher-margin diamond and gold </w:t>
      </w:r>
      <w:proofErr w:type="spellStart"/>
      <w:r w:rsidRPr="006E4256">
        <w:rPr>
          <w:lang w:val="en-IN"/>
        </w:rPr>
        <w:t>jewelry</w:t>
      </w:r>
      <w:proofErr w:type="spellEnd"/>
      <w:r w:rsidRPr="006E4256">
        <w:rPr>
          <w:lang w:val="en-IN"/>
        </w:rPr>
        <w:t xml:space="preserve"> versus silver, supported by experiential retail initiatives like the Blue Box Café, enables premium positioning and sustained price increases.</w:t>
      </w:r>
    </w:p>
    <w:p w14:paraId="08AE1842" w14:textId="77777777" w:rsidR="006E4256" w:rsidRPr="00EF6A62" w:rsidRDefault="006E4256" w:rsidP="009D4772">
      <w:pPr>
        <w:pStyle w:val="BodyText"/>
        <w:spacing w:before="237"/>
        <w:ind w:right="359"/>
        <w:jc w:val="both"/>
        <w:rPr>
          <w:b/>
          <w:bCs/>
          <w:u w:val="single"/>
          <w:lang w:val="en-IN"/>
        </w:rPr>
      </w:pPr>
      <w:r w:rsidRPr="00EF6A62">
        <w:rPr>
          <w:b/>
          <w:bCs/>
          <w:u w:val="single"/>
          <w:lang w:val="en-IN"/>
        </w:rPr>
        <w:t>Risk Factors</w:t>
      </w:r>
    </w:p>
    <w:p w14:paraId="19E55C1E" w14:textId="77777777" w:rsidR="006E4256" w:rsidRPr="006E4256" w:rsidRDefault="006E4256" w:rsidP="009D4772">
      <w:pPr>
        <w:pStyle w:val="BodyText"/>
        <w:spacing w:before="237"/>
        <w:ind w:right="359"/>
        <w:jc w:val="both"/>
        <w:rPr>
          <w:lang w:val="en-IN"/>
        </w:rPr>
      </w:pPr>
      <w:r w:rsidRPr="00EF6A62">
        <w:rPr>
          <w:b/>
          <w:bCs/>
          <w:i/>
          <w:iCs/>
          <w:lang w:val="en-IN"/>
        </w:rPr>
        <w:t>Macro Headwinds</w:t>
      </w:r>
      <w:r w:rsidRPr="006E4256">
        <w:rPr>
          <w:b/>
          <w:bCs/>
          <w:lang w:val="en-IN"/>
        </w:rPr>
        <w:t>:</w:t>
      </w:r>
      <w:r w:rsidRPr="006E4256">
        <w:rPr>
          <w:lang w:val="en-IN"/>
        </w:rPr>
        <w:t xml:space="preserve"> US-China trade tensions, Hong Kong protests (affecting 5% of revenue), and strong USD impacting tourist spending pose near-term challenges. However, geographic diversification through the merger mitigates concentration risk.</w:t>
      </w:r>
    </w:p>
    <w:p w14:paraId="0F0BB0F6" w14:textId="77777777" w:rsidR="006E4256" w:rsidRPr="006E4256" w:rsidRDefault="006E4256" w:rsidP="009D4772">
      <w:pPr>
        <w:pStyle w:val="BodyText"/>
        <w:spacing w:before="237"/>
        <w:ind w:right="359"/>
        <w:jc w:val="both"/>
        <w:rPr>
          <w:lang w:val="en-IN"/>
        </w:rPr>
      </w:pPr>
      <w:r w:rsidRPr="00EF6A62">
        <w:rPr>
          <w:b/>
          <w:bCs/>
          <w:i/>
          <w:iCs/>
          <w:lang w:val="en-IN"/>
        </w:rPr>
        <w:t>Integration Risk</w:t>
      </w:r>
      <w:r w:rsidRPr="006E4256">
        <w:rPr>
          <w:b/>
          <w:bCs/>
          <w:lang w:val="en-IN"/>
        </w:rPr>
        <w:t>:</w:t>
      </w:r>
      <w:r w:rsidRPr="006E4256">
        <w:rPr>
          <w:lang w:val="en-IN"/>
        </w:rPr>
        <w:t xml:space="preserve"> Cultural differences between American accessible luxury and European exclusivity, potential brand dilution, and talent retention challenges must be managed through LVMH's proven decentralized model.</w:t>
      </w:r>
    </w:p>
    <w:p w14:paraId="1705DF9D" w14:textId="51AF4A8F" w:rsidR="006E4256" w:rsidRPr="009E44BC" w:rsidRDefault="006E4256" w:rsidP="009E44BC">
      <w:pPr>
        <w:pStyle w:val="Heading1"/>
        <w:ind w:right="358"/>
        <w:rPr>
          <w:sz w:val="32"/>
          <w:szCs w:val="32"/>
        </w:rPr>
      </w:pPr>
      <w:bookmarkStart w:id="4" w:name="_Toc212896381"/>
      <w:r w:rsidRPr="00EF6A62">
        <w:rPr>
          <w:sz w:val="32"/>
          <w:szCs w:val="32"/>
        </w:rPr>
        <w:t>Negotiation Strategy and Recommendations</w:t>
      </w:r>
      <w:bookmarkEnd w:id="4"/>
    </w:p>
    <w:p w14:paraId="487E8482" w14:textId="77777777" w:rsidR="006E4256" w:rsidRPr="00EF6A62" w:rsidRDefault="006E4256" w:rsidP="009D4772">
      <w:pPr>
        <w:pStyle w:val="BodyText"/>
        <w:spacing w:before="237"/>
        <w:ind w:right="359"/>
        <w:jc w:val="both"/>
        <w:rPr>
          <w:b/>
          <w:bCs/>
          <w:u w:val="single"/>
          <w:lang w:val="en-IN"/>
        </w:rPr>
      </w:pPr>
      <w:r w:rsidRPr="00EF6A62">
        <w:rPr>
          <w:b/>
          <w:bCs/>
          <w:u w:val="single"/>
          <w:lang w:val="en-IN"/>
        </w:rPr>
        <w:t>Price Positioning</w:t>
      </w:r>
    </w:p>
    <w:p w14:paraId="38AE4CAA" w14:textId="77777777" w:rsidR="006E4256" w:rsidRPr="006E4256" w:rsidRDefault="006E4256" w:rsidP="009D4772">
      <w:pPr>
        <w:pStyle w:val="BodyText"/>
        <w:spacing w:before="237"/>
        <w:ind w:right="359"/>
        <w:jc w:val="both"/>
        <w:rPr>
          <w:lang w:val="en-IN"/>
        </w:rPr>
      </w:pPr>
      <w:r w:rsidRPr="006E4256">
        <w:rPr>
          <w:lang w:val="en-IN"/>
        </w:rPr>
        <w:t xml:space="preserve">Based on our valuation of $105-107 per share stand-alone plus $20-25 in synergies, we recommend opening negotiations at $150 per share to anchor high, targeting a settlement of $135-140 per share, with a walk-away point below $120. This pricing reflects Tiffany's intrinsic value, scarcity premium as the last major independent </w:t>
      </w:r>
      <w:proofErr w:type="spellStart"/>
      <w:r w:rsidRPr="006E4256">
        <w:rPr>
          <w:lang w:val="en-IN"/>
        </w:rPr>
        <w:t>jeweler</w:t>
      </w:r>
      <w:proofErr w:type="spellEnd"/>
      <w:r w:rsidRPr="006E4256">
        <w:rPr>
          <w:lang w:val="en-IN"/>
        </w:rPr>
        <w:t>, and the substantial synergies LVMH will realize.</w:t>
      </w:r>
    </w:p>
    <w:p w14:paraId="11BFDCA5" w14:textId="77777777" w:rsidR="006E4256" w:rsidRPr="00EF6A62" w:rsidRDefault="006E4256" w:rsidP="009D4772">
      <w:pPr>
        <w:pStyle w:val="BodyText"/>
        <w:spacing w:before="237"/>
        <w:ind w:right="359"/>
        <w:jc w:val="both"/>
        <w:rPr>
          <w:b/>
          <w:bCs/>
          <w:u w:val="single"/>
          <w:lang w:val="en-IN"/>
        </w:rPr>
      </w:pPr>
      <w:r w:rsidRPr="00EF6A62">
        <w:rPr>
          <w:b/>
          <w:bCs/>
          <w:u w:val="single"/>
          <w:lang w:val="en-IN"/>
        </w:rPr>
        <w:t>Negotiation Leverage</w:t>
      </w:r>
    </w:p>
    <w:p w14:paraId="088052FA" w14:textId="77777777" w:rsidR="006E4256" w:rsidRPr="006E4256" w:rsidRDefault="006E4256" w:rsidP="009D4772">
      <w:pPr>
        <w:pStyle w:val="BodyText"/>
        <w:spacing w:before="237"/>
        <w:ind w:right="359"/>
        <w:jc w:val="both"/>
        <w:rPr>
          <w:lang w:val="en-IN"/>
        </w:rPr>
      </w:pPr>
      <w:r w:rsidRPr="006E4256">
        <w:rPr>
          <w:lang w:val="en-IN"/>
        </w:rPr>
        <w:t>Tiffany holds significant leverage as LVMH needs this acquisition to compete with Richemont in hard luxury, where it currently has only 9% revenue exposure versus Richemont's 18% market share. The Bulgari precedent of 29x EBIT supports aggressive pricing. Additionally, Tiffany's temporary headwinds (Hong Kong protests, trade tensions) are cyclical rather than structural, and improving conditions will only strengthen the negotiating position.</w:t>
      </w:r>
    </w:p>
    <w:p w14:paraId="3DFBFAAA" w14:textId="77777777" w:rsidR="006E4256" w:rsidRPr="00EF6A62" w:rsidRDefault="006E4256" w:rsidP="009D4772">
      <w:pPr>
        <w:pStyle w:val="BodyText"/>
        <w:spacing w:before="237"/>
        <w:ind w:right="359"/>
        <w:jc w:val="both"/>
        <w:rPr>
          <w:b/>
          <w:bCs/>
          <w:u w:val="single"/>
          <w:lang w:val="en-IN"/>
        </w:rPr>
      </w:pPr>
      <w:r w:rsidRPr="00EF6A62">
        <w:rPr>
          <w:b/>
          <w:bCs/>
          <w:u w:val="single"/>
          <w:lang w:val="en-IN"/>
        </w:rPr>
        <w:t>Key Deal Terms</w:t>
      </w:r>
    </w:p>
    <w:p w14:paraId="12270EB6" w14:textId="6F9ED182" w:rsidR="009D4772" w:rsidRPr="00D46619" w:rsidRDefault="006E4256" w:rsidP="009D4772">
      <w:pPr>
        <w:pStyle w:val="BodyText"/>
        <w:spacing w:before="237"/>
        <w:ind w:right="359"/>
        <w:jc w:val="both"/>
        <w:rPr>
          <w:lang w:val="en-IN"/>
        </w:rPr>
      </w:pPr>
      <w:r w:rsidRPr="006E4256">
        <w:rPr>
          <w:lang w:val="en-IN"/>
        </w:rPr>
        <w:t>The transaction must be all-cash with no financing contingencies. Essential protections include a 45-day go-shop period to solicit competing offers, brand autonomy guarantees with headquarters remaining in New York, and retention packages for key executives. A reverse breakup fee of 6-8% should protect against LVMH failing to close.</w:t>
      </w:r>
    </w:p>
    <w:p w14:paraId="6218A140" w14:textId="763CB635" w:rsidR="006E4256" w:rsidRPr="00EF6A62" w:rsidRDefault="006E4256" w:rsidP="009D4772">
      <w:pPr>
        <w:pStyle w:val="BodyText"/>
        <w:spacing w:before="237"/>
        <w:ind w:right="359"/>
        <w:jc w:val="both"/>
        <w:rPr>
          <w:b/>
          <w:bCs/>
          <w:u w:val="single"/>
          <w:lang w:val="en-IN"/>
        </w:rPr>
      </w:pPr>
      <w:r w:rsidRPr="00EF6A62">
        <w:rPr>
          <w:b/>
          <w:bCs/>
          <w:u w:val="single"/>
          <w:lang w:val="en-IN"/>
        </w:rPr>
        <w:t>Alternative Options</w:t>
      </w:r>
    </w:p>
    <w:p w14:paraId="65EF0251" w14:textId="5F1F1291" w:rsidR="006E4256" w:rsidRPr="006E4256" w:rsidRDefault="006E4256" w:rsidP="009D4772">
      <w:pPr>
        <w:pStyle w:val="BodyText"/>
        <w:spacing w:before="237"/>
        <w:ind w:right="359"/>
        <w:jc w:val="both"/>
        <w:rPr>
          <w:lang w:val="en-IN"/>
        </w:rPr>
      </w:pPr>
      <w:r w:rsidRPr="006E4256">
        <w:rPr>
          <w:lang w:val="en-IN"/>
        </w:rPr>
        <w:lastRenderedPageBreak/>
        <w:t xml:space="preserve">If LVMH's offer falls below $120, the </w:t>
      </w:r>
      <w:r w:rsidR="00D83564">
        <w:rPr>
          <w:lang w:val="en-IN"/>
        </w:rPr>
        <w:t xml:space="preserve">Tiffany </w:t>
      </w:r>
      <w:r w:rsidRPr="006E4256">
        <w:rPr>
          <w:lang w:val="en-IN"/>
        </w:rPr>
        <w:t>Board should pursue alternatives including remaining independent to execute the turnaround plan showing early success, engaging alternative acquirers (Richemont, Kering, Berkshire Hathaway), or exploring strategic partnerships that provide growth capital while maintaining independence.</w:t>
      </w:r>
    </w:p>
    <w:p w14:paraId="1D38D71D" w14:textId="77777777" w:rsidR="006E4256" w:rsidRPr="00EF6A62" w:rsidRDefault="006E4256" w:rsidP="009D4772">
      <w:pPr>
        <w:pStyle w:val="BodyText"/>
        <w:spacing w:before="237"/>
        <w:ind w:right="359"/>
        <w:jc w:val="both"/>
        <w:rPr>
          <w:b/>
          <w:bCs/>
          <w:u w:val="single"/>
          <w:lang w:val="en-IN"/>
        </w:rPr>
      </w:pPr>
      <w:r w:rsidRPr="00EF6A62">
        <w:rPr>
          <w:b/>
          <w:bCs/>
          <w:u w:val="single"/>
          <w:lang w:val="en-IN"/>
        </w:rPr>
        <w:t>Board Actions</w:t>
      </w:r>
    </w:p>
    <w:p w14:paraId="28A1266A" w14:textId="77777777" w:rsidR="006E4256" w:rsidRPr="006E4256" w:rsidRDefault="006E4256" w:rsidP="009D4772">
      <w:pPr>
        <w:pStyle w:val="BodyText"/>
        <w:spacing w:before="237"/>
        <w:ind w:right="359"/>
        <w:jc w:val="both"/>
        <w:rPr>
          <w:lang w:val="en-IN"/>
        </w:rPr>
      </w:pPr>
      <w:r w:rsidRPr="006E4256">
        <w:rPr>
          <w:lang w:val="en-IN"/>
        </w:rPr>
        <w:t xml:space="preserve">Form a special committee immediately, engage two financial advisors for fairness opinions, and prepare to actively negotiate. Refuse due diligence below $130 per share and be prepared to walk away if fair value isn't offered. Time </w:t>
      </w:r>
      <w:proofErr w:type="spellStart"/>
      <w:r w:rsidRPr="006E4256">
        <w:rPr>
          <w:lang w:val="en-IN"/>
        </w:rPr>
        <w:t>favors</w:t>
      </w:r>
      <w:proofErr w:type="spellEnd"/>
      <w:r w:rsidRPr="006E4256">
        <w:rPr>
          <w:lang w:val="en-IN"/>
        </w:rPr>
        <w:t xml:space="preserve"> Tiffany—every quarter of successful execution strengthens the negotiating position.</w:t>
      </w:r>
    </w:p>
    <w:p w14:paraId="494B70CC" w14:textId="77777777" w:rsidR="006E4256" w:rsidRPr="00EF6A62" w:rsidRDefault="006E4256" w:rsidP="00EF6A62">
      <w:pPr>
        <w:pStyle w:val="BodyText"/>
        <w:spacing w:before="237"/>
        <w:ind w:right="360"/>
        <w:jc w:val="both"/>
        <w:rPr>
          <w:b/>
          <w:bCs/>
          <w:u w:val="single"/>
          <w:lang w:val="en-IN"/>
        </w:rPr>
      </w:pPr>
      <w:r w:rsidRPr="00EF6A62">
        <w:rPr>
          <w:b/>
          <w:bCs/>
          <w:u w:val="single"/>
          <w:lang w:val="en-IN"/>
        </w:rPr>
        <w:t>Recommendation</w:t>
      </w:r>
    </w:p>
    <w:p w14:paraId="6F29174A" w14:textId="7ADAF4EB" w:rsidR="006E4256" w:rsidRPr="00C4284C" w:rsidRDefault="006E4256" w:rsidP="009D4772">
      <w:pPr>
        <w:pStyle w:val="BodyText"/>
        <w:spacing w:before="237"/>
        <w:ind w:right="359"/>
        <w:jc w:val="both"/>
        <w:rPr>
          <w:lang w:val="en-IN"/>
        </w:rPr>
      </w:pPr>
      <w:r w:rsidRPr="006E4256">
        <w:rPr>
          <w:lang w:val="en-IN"/>
        </w:rPr>
        <w:t>Enter negotiations from strength, demanding a price that reflects both intrinsic value and strategic importance. A transaction at $135-140 per share with appropriate protections represents a successful outcome. However, be prepared to reject inadequate offers, as Tiffany's improving fundamentals and scarcity value will only increase over time.</w:t>
      </w:r>
    </w:p>
    <w:p w14:paraId="54523DD4" w14:textId="77777777" w:rsidR="00EF6A62" w:rsidRPr="009E44BC" w:rsidRDefault="00DC76F5" w:rsidP="009E44BC">
      <w:pPr>
        <w:pStyle w:val="Heading1"/>
        <w:ind w:right="358"/>
        <w:rPr>
          <w:sz w:val="32"/>
          <w:szCs w:val="32"/>
        </w:rPr>
      </w:pPr>
      <w:bookmarkStart w:id="5" w:name="_Toc212896382"/>
      <w:r w:rsidRPr="009E44BC">
        <w:rPr>
          <w:sz w:val="32"/>
          <w:szCs w:val="32"/>
        </w:rPr>
        <w:t>Conclusion</w:t>
      </w:r>
      <w:bookmarkEnd w:id="5"/>
    </w:p>
    <w:p w14:paraId="5E3B1D6C" w14:textId="1BEC53A9" w:rsidR="00DC76F5" w:rsidRPr="00EF6A62" w:rsidRDefault="00DC76F5" w:rsidP="00EF6A62">
      <w:pPr>
        <w:pStyle w:val="BodyText"/>
        <w:spacing w:before="237" w:after="120"/>
        <w:ind w:right="360"/>
        <w:jc w:val="both"/>
        <w:rPr>
          <w:b/>
          <w:bCs/>
          <w:u w:val="single"/>
        </w:rPr>
      </w:pPr>
      <w:r w:rsidRPr="00DC76F5">
        <w:rPr>
          <w:lang w:val="en-IN"/>
        </w:rPr>
        <w:t>Tiffany &amp; Co. faces a critical decision regarding LVMH's potential acquisition proposal. Our analysis establishes Tiffany's intrinsic value at $105-107 per share, well above the current trading price of $91.58. With identified synergies worth $20-25 per share, the total value reaches $125-132 per share before any control premium.</w:t>
      </w:r>
    </w:p>
    <w:p w14:paraId="1CE4AD6D" w14:textId="77777777" w:rsidR="00DC76F5" w:rsidRPr="00DC76F5" w:rsidRDefault="00DC76F5" w:rsidP="009D4772">
      <w:pPr>
        <w:pStyle w:val="BodyText"/>
        <w:spacing w:before="237"/>
        <w:ind w:right="359"/>
        <w:jc w:val="both"/>
        <w:rPr>
          <w:lang w:val="en-IN"/>
        </w:rPr>
      </w:pPr>
      <w:r w:rsidRPr="00DC76F5">
        <w:rPr>
          <w:lang w:val="en-IN"/>
        </w:rPr>
        <w:t xml:space="preserve">The strategic logic is clear but asymmetric—LVMH needs Tiffany to compete in hard luxury, while Tiffany can succeed independently. As the last major independent luxury </w:t>
      </w:r>
      <w:proofErr w:type="spellStart"/>
      <w:r w:rsidRPr="00DC76F5">
        <w:rPr>
          <w:lang w:val="en-IN"/>
        </w:rPr>
        <w:t>jeweler</w:t>
      </w:r>
      <w:proofErr w:type="spellEnd"/>
      <w:r w:rsidRPr="00DC76F5">
        <w:rPr>
          <w:lang w:val="en-IN"/>
        </w:rPr>
        <w:t>, Tiffany has significant negotiating leverage that must be fully utilized.</w:t>
      </w:r>
    </w:p>
    <w:p w14:paraId="0BDDE560" w14:textId="484F65D5" w:rsidR="00DC76F5" w:rsidRPr="00DC76F5" w:rsidRDefault="00DC76F5" w:rsidP="009D4772">
      <w:pPr>
        <w:pStyle w:val="BodyText"/>
        <w:spacing w:before="237"/>
        <w:ind w:right="359"/>
        <w:jc w:val="both"/>
        <w:rPr>
          <w:lang w:val="en-IN"/>
        </w:rPr>
      </w:pPr>
      <w:r w:rsidRPr="00DC76F5">
        <w:rPr>
          <w:lang w:val="en-IN"/>
        </w:rPr>
        <w:t>The Board should demand a minimum of $12</w:t>
      </w:r>
      <w:r w:rsidR="00F46002">
        <w:rPr>
          <w:lang w:val="en-IN"/>
        </w:rPr>
        <w:t>5</w:t>
      </w:r>
      <w:r w:rsidRPr="00DC76F5">
        <w:rPr>
          <w:lang w:val="en-IN"/>
        </w:rPr>
        <w:t xml:space="preserve"> per share, targeting $135-140 per share. Any offer below $12</w:t>
      </w:r>
      <w:r w:rsidR="00247F9C">
        <w:rPr>
          <w:lang w:val="en-IN"/>
        </w:rPr>
        <w:t>5</w:t>
      </w:r>
      <w:r w:rsidRPr="00DC76F5">
        <w:rPr>
          <w:lang w:val="en-IN"/>
        </w:rPr>
        <w:t xml:space="preserve"> should be rejected. Time </w:t>
      </w:r>
      <w:proofErr w:type="spellStart"/>
      <w:r w:rsidRPr="00DC76F5">
        <w:rPr>
          <w:lang w:val="en-IN"/>
        </w:rPr>
        <w:t>favors</w:t>
      </w:r>
      <w:proofErr w:type="spellEnd"/>
      <w:r w:rsidRPr="00DC76F5">
        <w:rPr>
          <w:lang w:val="en-IN"/>
        </w:rPr>
        <w:t xml:space="preserve"> Tiffany as temporary headwinds will normalize and the turnaround plan gains traction. The Board should immediately form a special committee, engage advisors, and prepare for negotiations while exploring alternatives. Whether through a fair-value acquisition or remaining independent, multiple paths exist to maximize shareholder value.</w:t>
      </w:r>
    </w:p>
    <w:p w14:paraId="5AB53EE2" w14:textId="57433901" w:rsidR="00DC76F5" w:rsidRPr="00DC76F5" w:rsidRDefault="00DC76F5" w:rsidP="009D4772">
      <w:pPr>
        <w:pStyle w:val="BodyText"/>
        <w:spacing w:before="237"/>
        <w:ind w:right="359"/>
        <w:jc w:val="both"/>
        <w:rPr>
          <w:lang w:val="en-IN"/>
        </w:rPr>
      </w:pPr>
      <w:r w:rsidRPr="00DC76F5">
        <w:rPr>
          <w:lang w:val="en-IN"/>
        </w:rPr>
        <w:t>The decision is not whether to sell, but at what price. Below $12</w:t>
      </w:r>
      <w:r w:rsidR="00EA34AB">
        <w:rPr>
          <w:lang w:val="en-IN"/>
        </w:rPr>
        <w:t>5</w:t>
      </w:r>
      <w:r w:rsidRPr="00DC76F5">
        <w:rPr>
          <w:lang w:val="en-IN"/>
        </w:rPr>
        <w:t xml:space="preserve"> per share, Tiffany is worth more.</w:t>
      </w:r>
    </w:p>
    <w:p w14:paraId="34D571F5" w14:textId="77777777" w:rsidR="00DC76F5" w:rsidRDefault="00DC76F5" w:rsidP="007A0763">
      <w:pPr>
        <w:pStyle w:val="BodyText"/>
        <w:spacing w:before="237"/>
        <w:ind w:right="359"/>
      </w:pPr>
    </w:p>
    <w:sectPr w:rsidR="00DC76F5" w:rsidSect="00296D58">
      <w:pgSz w:w="12240" w:h="15840"/>
      <w:pgMar w:top="1440" w:right="1080" w:bottom="14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BC834" w14:textId="77777777" w:rsidR="003140D8" w:rsidRDefault="003140D8">
      <w:r>
        <w:separator/>
      </w:r>
    </w:p>
  </w:endnote>
  <w:endnote w:type="continuationSeparator" w:id="0">
    <w:p w14:paraId="258FA43C" w14:textId="77777777" w:rsidR="003140D8" w:rsidRDefault="00314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FAD3" w14:textId="77777777" w:rsidR="00BC5357"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F7C5FE1" wp14:editId="536C7B97">
              <wp:simplePos x="0" y="0"/>
              <wp:positionH relativeFrom="page">
                <wp:posOffset>971550</wp:posOffset>
              </wp:positionH>
              <wp:positionV relativeFrom="page">
                <wp:posOffset>9213850</wp:posOffset>
              </wp:positionV>
              <wp:extent cx="2882900" cy="2857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0" cy="285750"/>
                      </a:xfrm>
                      <a:prstGeom prst="rect">
                        <a:avLst/>
                      </a:prstGeom>
                    </wps:spPr>
                    <wps:txbx>
                      <w:txbxContent>
                        <w:p w14:paraId="7D7C307D" w14:textId="5A50852C" w:rsidR="00BC5357" w:rsidRDefault="00DC76F5">
                          <w:pPr>
                            <w:pStyle w:val="BodyText"/>
                            <w:spacing w:before="20"/>
                            <w:ind w:left="20"/>
                            <w:rPr>
                              <w:rFonts w:ascii="Trebuchet MS"/>
                            </w:rPr>
                          </w:pPr>
                          <w:r w:rsidRPr="00DC76F5">
                            <w:rPr>
                              <w:rFonts w:ascii="Trebuchet MS"/>
                              <w:spacing w:val="-2"/>
                            </w:rPr>
                            <w:t>Tiffany &amp; Co.: The LVMH Proposal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F7C5FE1" id="_x0000_t202" coordsize="21600,21600" o:spt="202" path="m,l,21600r21600,l21600,xe">
              <v:stroke joinstyle="miter"/>
              <v:path gradientshapeok="t" o:connecttype="rect"/>
            </v:shapetype>
            <v:shape id="Textbox 3" o:spid="_x0000_s1028" type="#_x0000_t202" style="position:absolute;margin-left:76.5pt;margin-top:725.5pt;width:227pt;height:2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" filled="f" stroked="f">
              <v:textbox inset="0,0,0,0">
                <w:txbxContent>
                  <w:p w14:paraId="7D7C307D" w14:textId="5A50852C" w:rsidR="00BC5357" w:rsidRDefault="00DC76F5">
                    <w:pPr>
                      <w:pStyle w:val="BodyText"/>
                      <w:spacing w:before="20"/>
                      <w:ind w:left="20"/>
                      <w:rPr>
                        <w:rFonts w:ascii="Trebuchet MS"/>
                      </w:rPr>
                    </w:pPr>
                    <w:r w:rsidRPr="00DC76F5">
                      <w:rPr>
                        <w:rFonts w:ascii="Trebuchet MS"/>
                        <w:spacing w:val="-2"/>
                      </w:rPr>
                      <w:t>Tiffany &amp; Co.: The LVMH Proposal</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3D49A6E0" wp14:editId="4D93A309">
              <wp:simplePos x="0" y="0"/>
              <wp:positionH relativeFrom="page">
                <wp:posOffset>6883018</wp:posOffset>
              </wp:positionH>
              <wp:positionV relativeFrom="page">
                <wp:posOffset>9213308</wp:posOffset>
              </wp:positionV>
              <wp:extent cx="228600"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11454"/>
                      </a:xfrm>
                      <a:prstGeom prst="rect">
                        <a:avLst/>
                      </a:prstGeom>
                    </wps:spPr>
                    <wps:txbx>
                      <w:txbxContent>
                        <w:p w14:paraId="31001C20" w14:textId="77777777" w:rsidR="00BC5357"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 w14:anchorId="3D49A6E0" id="Textbox 4" o:spid="_x0000_s1029" type="#_x0000_t202" style="position:absolute;margin-left:541.95pt;margin-top:725.45pt;width:18pt;height:16.6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" filled="f" stroked="f">
              <v:textbox inset="0,0,0,0">
                <w:txbxContent>
                  <w:p w14:paraId="31001C20" w14:textId="77777777" w:rsidR="00BC5357" w:rsidRDefault="00000000">
                    <w:pPr>
                      <w:pStyle w:val="BodyText"/>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15296" w14:textId="77777777" w:rsidR="003140D8" w:rsidRDefault="003140D8">
      <w:r>
        <w:separator/>
      </w:r>
    </w:p>
  </w:footnote>
  <w:footnote w:type="continuationSeparator" w:id="0">
    <w:p w14:paraId="407C40B5" w14:textId="77777777" w:rsidR="003140D8" w:rsidRDefault="00314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52392" w14:textId="77777777" w:rsidR="00BC5357"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1CF7C431" wp14:editId="5C981015">
              <wp:simplePos x="0" y="0"/>
              <wp:positionH relativeFrom="page">
                <wp:posOffset>901700</wp:posOffset>
              </wp:positionH>
              <wp:positionV relativeFrom="page">
                <wp:posOffset>444500</wp:posOffset>
              </wp:positionV>
              <wp:extent cx="1593850" cy="2413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0" cy="241300"/>
                      </a:xfrm>
                      <a:prstGeom prst="rect">
                        <a:avLst/>
                      </a:prstGeom>
                    </wps:spPr>
                    <wps:txbx>
                      <w:txbxContent>
                        <w:p w14:paraId="4FC16EF5" w14:textId="3B7ACC89" w:rsidR="00BC5357" w:rsidRPr="00DC76F5" w:rsidRDefault="00DC76F5">
                          <w:pPr>
                            <w:spacing w:before="20"/>
                            <w:ind w:left="20"/>
                            <w:rPr>
                              <w:rFonts w:ascii="Trebuchet MS"/>
                              <w:i/>
                              <w:sz w:val="24"/>
                              <w:lang w:val="en-IN"/>
                            </w:rPr>
                          </w:pPr>
                          <w:r>
                            <w:rPr>
                              <w:rFonts w:ascii="Trebuchet MS"/>
                              <w:i/>
                              <w:spacing w:val="-6"/>
                              <w:sz w:val="24"/>
                              <w:lang w:val="en-IN"/>
                            </w:rPr>
                            <w:t>Investment Banking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CF7C431" id="_x0000_t202" coordsize="21600,21600" o:spt="202" path="m,l,21600r21600,l21600,xe">
              <v:stroke joinstyle="miter"/>
              <v:path gradientshapeok="t" o:connecttype="rect"/>
            </v:shapetype>
            <v:shape id="Textbox 1" o:spid="_x0000_s1026" type="#_x0000_t202" style="position:absolute;margin-left:71pt;margin-top:35pt;width:125.5pt;height:19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" filled="f" stroked="f">
              <v:textbox inset="0,0,0,0">
                <w:txbxContent>
                  <w:p w14:paraId="4FC16EF5" w14:textId="3B7ACC89" w:rsidR="00BC5357" w:rsidRPr="00DC76F5" w:rsidRDefault="00DC76F5">
                    <w:pPr>
                      <w:spacing w:before="20"/>
                      <w:ind w:left="20"/>
                      <w:rPr>
                        <w:rFonts w:ascii="Trebuchet MS"/>
                        <w:i/>
                        <w:sz w:val="24"/>
                        <w:lang w:val="en-IN"/>
                      </w:rPr>
                    </w:pPr>
                    <w:r>
                      <w:rPr>
                        <w:rFonts w:ascii="Trebuchet MS"/>
                        <w:i/>
                        <w:spacing w:val="-6"/>
                        <w:sz w:val="24"/>
                        <w:lang w:val="en-IN"/>
                      </w:rPr>
                      <w:t>Investment Banking</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55AAE582" wp14:editId="18339F8B">
              <wp:simplePos x="0" y="0"/>
              <wp:positionH relativeFrom="page">
                <wp:posOffset>6254115</wp:posOffset>
              </wp:positionH>
              <wp:positionV relativeFrom="page">
                <wp:posOffset>444657</wp:posOffset>
              </wp:positionV>
              <wp:extent cx="62738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380" cy="211454"/>
                      </a:xfrm>
                      <a:prstGeom prst="rect">
                        <a:avLst/>
                      </a:prstGeom>
                    </wps:spPr>
                    <wps:txbx>
                      <w:txbxContent>
                        <w:p w14:paraId="588F6806" w14:textId="6061DFFB" w:rsidR="00BC5357" w:rsidRDefault="00000000">
                          <w:pPr>
                            <w:spacing w:before="20"/>
                            <w:ind w:left="20"/>
                            <w:rPr>
                              <w:rFonts w:ascii="Trebuchet MS"/>
                              <w:i/>
                              <w:sz w:val="24"/>
                            </w:rPr>
                          </w:pPr>
                          <w:r>
                            <w:rPr>
                              <w:rFonts w:ascii="Trebuchet MS"/>
                              <w:i/>
                              <w:w w:val="90"/>
                              <w:sz w:val="24"/>
                            </w:rPr>
                            <w:t>Fall</w:t>
                          </w:r>
                          <w:r>
                            <w:rPr>
                              <w:rFonts w:ascii="Trebuchet MS"/>
                              <w:i/>
                              <w:spacing w:val="-7"/>
                              <w:sz w:val="24"/>
                            </w:rPr>
                            <w:t xml:space="preserve"> </w:t>
                          </w:r>
                          <w:r>
                            <w:rPr>
                              <w:rFonts w:ascii="Trebuchet MS"/>
                              <w:i/>
                              <w:spacing w:val="-4"/>
                              <w:sz w:val="24"/>
                            </w:rPr>
                            <w:t>202</w:t>
                          </w:r>
                          <w:r w:rsidR="00DC76F5">
                            <w:rPr>
                              <w:rFonts w:ascii="Trebuchet MS"/>
                              <w:i/>
                              <w:spacing w:val="-4"/>
                              <w:sz w:val="24"/>
                            </w:rPr>
                            <w:t>5</w:t>
                          </w:r>
                        </w:p>
                      </w:txbxContent>
                    </wps:txbx>
                    <wps:bodyPr wrap="square" lIns="0" tIns="0" rIns="0" bIns="0" rtlCol="0">
                      <a:noAutofit/>
                    </wps:bodyPr>
                  </wps:wsp>
                </a:graphicData>
              </a:graphic>
            </wp:anchor>
          </w:drawing>
        </mc:Choice>
        <mc:Fallback>
          <w:pict>
            <v:shape w14:anchorId="55AAE582" id="Textbox 2" o:spid="_x0000_s1027" type="#_x0000_t202" style="position:absolute;margin-left:492.45pt;margin-top:35pt;width:49.4pt;height:16.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" filled="f" stroked="f">
              <v:textbox inset="0,0,0,0">
                <w:txbxContent>
                  <w:p w14:paraId="588F6806" w14:textId="6061DFFB" w:rsidR="00BC5357" w:rsidRDefault="00000000">
                    <w:pPr>
                      <w:spacing w:before="20"/>
                      <w:ind w:left="20"/>
                      <w:rPr>
                        <w:rFonts w:ascii="Trebuchet MS"/>
                        <w:i/>
                        <w:sz w:val="24"/>
                      </w:rPr>
                    </w:pPr>
                    <w:r>
                      <w:rPr>
                        <w:rFonts w:ascii="Trebuchet MS"/>
                        <w:i/>
                        <w:w w:val="90"/>
                        <w:sz w:val="24"/>
                      </w:rPr>
                      <w:t>Fall</w:t>
                    </w:r>
                    <w:r>
                      <w:rPr>
                        <w:rFonts w:ascii="Trebuchet MS"/>
                        <w:i/>
                        <w:spacing w:val="-7"/>
                        <w:sz w:val="24"/>
                      </w:rPr>
                      <w:t xml:space="preserve"> </w:t>
                    </w:r>
                    <w:r>
                      <w:rPr>
                        <w:rFonts w:ascii="Trebuchet MS"/>
                        <w:i/>
                        <w:spacing w:val="-4"/>
                        <w:sz w:val="24"/>
                      </w:rPr>
                      <w:t>202</w:t>
                    </w:r>
                    <w:r w:rsidR="00DC76F5">
                      <w:rPr>
                        <w:rFonts w:ascii="Trebuchet MS"/>
                        <w:i/>
                        <w:spacing w:val="-4"/>
                        <w:sz w:val="24"/>
                      </w:rPr>
                      <w:t>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791"/>
    <w:multiLevelType w:val="multilevel"/>
    <w:tmpl w:val="96CE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733"/>
    <w:multiLevelType w:val="hybridMultilevel"/>
    <w:tmpl w:val="4A7CD7EA"/>
    <w:lvl w:ilvl="0" w:tplc="AB6853A4">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4496A61C">
      <w:numFmt w:val="bullet"/>
      <w:lvlText w:val="•"/>
      <w:lvlJc w:val="left"/>
      <w:pPr>
        <w:ind w:left="1620" w:hanging="360"/>
      </w:pPr>
      <w:rPr>
        <w:rFonts w:hint="default"/>
        <w:lang w:val="en-US" w:eastAsia="en-US" w:bidi="ar-SA"/>
      </w:rPr>
    </w:lvl>
    <w:lvl w:ilvl="2" w:tplc="2F0C37EC">
      <w:numFmt w:val="bullet"/>
      <w:lvlText w:val="•"/>
      <w:lvlJc w:val="left"/>
      <w:pPr>
        <w:ind w:left="2520" w:hanging="360"/>
      </w:pPr>
      <w:rPr>
        <w:rFonts w:hint="default"/>
        <w:lang w:val="en-US" w:eastAsia="en-US" w:bidi="ar-SA"/>
      </w:rPr>
    </w:lvl>
    <w:lvl w:ilvl="3" w:tplc="DF762F9A">
      <w:numFmt w:val="bullet"/>
      <w:lvlText w:val="•"/>
      <w:lvlJc w:val="left"/>
      <w:pPr>
        <w:ind w:left="3420" w:hanging="360"/>
      </w:pPr>
      <w:rPr>
        <w:rFonts w:hint="default"/>
        <w:lang w:val="en-US" w:eastAsia="en-US" w:bidi="ar-SA"/>
      </w:rPr>
    </w:lvl>
    <w:lvl w:ilvl="4" w:tplc="9E9E820A">
      <w:numFmt w:val="bullet"/>
      <w:lvlText w:val="•"/>
      <w:lvlJc w:val="left"/>
      <w:pPr>
        <w:ind w:left="4320" w:hanging="360"/>
      </w:pPr>
      <w:rPr>
        <w:rFonts w:hint="default"/>
        <w:lang w:val="en-US" w:eastAsia="en-US" w:bidi="ar-SA"/>
      </w:rPr>
    </w:lvl>
    <w:lvl w:ilvl="5" w:tplc="2E0CE342">
      <w:numFmt w:val="bullet"/>
      <w:lvlText w:val="•"/>
      <w:lvlJc w:val="left"/>
      <w:pPr>
        <w:ind w:left="5220" w:hanging="360"/>
      </w:pPr>
      <w:rPr>
        <w:rFonts w:hint="default"/>
        <w:lang w:val="en-US" w:eastAsia="en-US" w:bidi="ar-SA"/>
      </w:rPr>
    </w:lvl>
    <w:lvl w:ilvl="6" w:tplc="0CB28800">
      <w:numFmt w:val="bullet"/>
      <w:lvlText w:val="•"/>
      <w:lvlJc w:val="left"/>
      <w:pPr>
        <w:ind w:left="6120" w:hanging="360"/>
      </w:pPr>
      <w:rPr>
        <w:rFonts w:hint="default"/>
        <w:lang w:val="en-US" w:eastAsia="en-US" w:bidi="ar-SA"/>
      </w:rPr>
    </w:lvl>
    <w:lvl w:ilvl="7" w:tplc="DAD6EE2C">
      <w:numFmt w:val="bullet"/>
      <w:lvlText w:val="•"/>
      <w:lvlJc w:val="left"/>
      <w:pPr>
        <w:ind w:left="7020" w:hanging="360"/>
      </w:pPr>
      <w:rPr>
        <w:rFonts w:hint="default"/>
        <w:lang w:val="en-US" w:eastAsia="en-US" w:bidi="ar-SA"/>
      </w:rPr>
    </w:lvl>
    <w:lvl w:ilvl="8" w:tplc="B5E0FA3E">
      <w:numFmt w:val="bullet"/>
      <w:lvlText w:val="•"/>
      <w:lvlJc w:val="left"/>
      <w:pPr>
        <w:ind w:left="7920" w:hanging="360"/>
      </w:pPr>
      <w:rPr>
        <w:rFonts w:hint="default"/>
        <w:lang w:val="en-US" w:eastAsia="en-US" w:bidi="ar-SA"/>
      </w:rPr>
    </w:lvl>
  </w:abstractNum>
  <w:abstractNum w:abstractNumId="2" w15:restartNumberingAfterBreak="0">
    <w:nsid w:val="09633D4B"/>
    <w:multiLevelType w:val="multilevel"/>
    <w:tmpl w:val="35E2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872C2"/>
    <w:multiLevelType w:val="hybridMultilevel"/>
    <w:tmpl w:val="7E865516"/>
    <w:lvl w:ilvl="0" w:tplc="AFFA79F0">
      <w:start w:val="1"/>
      <w:numFmt w:val="decimal"/>
      <w:lvlText w:val="%1."/>
      <w:lvlJc w:val="left"/>
      <w:pPr>
        <w:ind w:left="721" w:hanging="360"/>
      </w:pPr>
      <w:rPr>
        <w:rFonts w:ascii="Times New Roman" w:eastAsia="Times New Roman" w:hAnsi="Times New Roman" w:cs="Times New Roman" w:hint="default"/>
        <w:b/>
        <w:bCs/>
        <w:i w:val="0"/>
        <w:iCs w:val="0"/>
        <w:spacing w:val="0"/>
        <w:w w:val="100"/>
        <w:sz w:val="24"/>
        <w:szCs w:val="24"/>
        <w:lang w:val="en-US" w:eastAsia="en-US" w:bidi="ar-SA"/>
      </w:rPr>
    </w:lvl>
    <w:lvl w:ilvl="1" w:tplc="55228DA4">
      <w:numFmt w:val="bullet"/>
      <w:lvlText w:val="•"/>
      <w:lvlJc w:val="left"/>
      <w:pPr>
        <w:ind w:left="1620" w:hanging="360"/>
      </w:pPr>
      <w:rPr>
        <w:rFonts w:hint="default"/>
        <w:lang w:val="en-US" w:eastAsia="en-US" w:bidi="ar-SA"/>
      </w:rPr>
    </w:lvl>
    <w:lvl w:ilvl="2" w:tplc="699844B4">
      <w:numFmt w:val="bullet"/>
      <w:lvlText w:val="•"/>
      <w:lvlJc w:val="left"/>
      <w:pPr>
        <w:ind w:left="2520" w:hanging="360"/>
      </w:pPr>
      <w:rPr>
        <w:rFonts w:hint="default"/>
        <w:lang w:val="en-US" w:eastAsia="en-US" w:bidi="ar-SA"/>
      </w:rPr>
    </w:lvl>
    <w:lvl w:ilvl="3" w:tplc="17824C90">
      <w:numFmt w:val="bullet"/>
      <w:lvlText w:val="•"/>
      <w:lvlJc w:val="left"/>
      <w:pPr>
        <w:ind w:left="3420" w:hanging="360"/>
      </w:pPr>
      <w:rPr>
        <w:rFonts w:hint="default"/>
        <w:lang w:val="en-US" w:eastAsia="en-US" w:bidi="ar-SA"/>
      </w:rPr>
    </w:lvl>
    <w:lvl w:ilvl="4" w:tplc="95AC50B2">
      <w:numFmt w:val="bullet"/>
      <w:lvlText w:val="•"/>
      <w:lvlJc w:val="left"/>
      <w:pPr>
        <w:ind w:left="4320" w:hanging="360"/>
      </w:pPr>
      <w:rPr>
        <w:rFonts w:hint="default"/>
        <w:lang w:val="en-US" w:eastAsia="en-US" w:bidi="ar-SA"/>
      </w:rPr>
    </w:lvl>
    <w:lvl w:ilvl="5" w:tplc="2F8ECCD4">
      <w:numFmt w:val="bullet"/>
      <w:lvlText w:val="•"/>
      <w:lvlJc w:val="left"/>
      <w:pPr>
        <w:ind w:left="5220" w:hanging="360"/>
      </w:pPr>
      <w:rPr>
        <w:rFonts w:hint="default"/>
        <w:lang w:val="en-US" w:eastAsia="en-US" w:bidi="ar-SA"/>
      </w:rPr>
    </w:lvl>
    <w:lvl w:ilvl="6" w:tplc="5D563486">
      <w:numFmt w:val="bullet"/>
      <w:lvlText w:val="•"/>
      <w:lvlJc w:val="left"/>
      <w:pPr>
        <w:ind w:left="6120" w:hanging="360"/>
      </w:pPr>
      <w:rPr>
        <w:rFonts w:hint="default"/>
        <w:lang w:val="en-US" w:eastAsia="en-US" w:bidi="ar-SA"/>
      </w:rPr>
    </w:lvl>
    <w:lvl w:ilvl="7" w:tplc="734EECD8">
      <w:numFmt w:val="bullet"/>
      <w:lvlText w:val="•"/>
      <w:lvlJc w:val="left"/>
      <w:pPr>
        <w:ind w:left="7020" w:hanging="360"/>
      </w:pPr>
      <w:rPr>
        <w:rFonts w:hint="default"/>
        <w:lang w:val="en-US" w:eastAsia="en-US" w:bidi="ar-SA"/>
      </w:rPr>
    </w:lvl>
    <w:lvl w:ilvl="8" w:tplc="CBD066A8">
      <w:numFmt w:val="bullet"/>
      <w:lvlText w:val="•"/>
      <w:lvlJc w:val="left"/>
      <w:pPr>
        <w:ind w:left="7920" w:hanging="360"/>
      </w:pPr>
      <w:rPr>
        <w:rFonts w:hint="default"/>
        <w:lang w:val="en-US" w:eastAsia="en-US" w:bidi="ar-SA"/>
      </w:rPr>
    </w:lvl>
  </w:abstractNum>
  <w:abstractNum w:abstractNumId="4" w15:restartNumberingAfterBreak="0">
    <w:nsid w:val="14442C05"/>
    <w:multiLevelType w:val="hybridMultilevel"/>
    <w:tmpl w:val="F496CEB6"/>
    <w:lvl w:ilvl="0" w:tplc="90AED6B8">
      <w:numFmt w:val="bullet"/>
      <w:lvlText w:val=""/>
      <w:lvlJc w:val="left"/>
      <w:pPr>
        <w:ind w:left="771" w:hanging="360"/>
      </w:pPr>
      <w:rPr>
        <w:rFonts w:ascii="Symbol" w:eastAsia="Symbol" w:hAnsi="Symbol" w:cs="Symbol" w:hint="default"/>
        <w:b w:val="0"/>
        <w:bCs w:val="0"/>
        <w:i w:val="0"/>
        <w:iCs w:val="0"/>
        <w:spacing w:val="0"/>
        <w:w w:val="100"/>
        <w:sz w:val="24"/>
        <w:szCs w:val="24"/>
        <w:lang w:val="en-US" w:eastAsia="en-US" w:bidi="ar-SA"/>
      </w:rPr>
    </w:lvl>
    <w:lvl w:ilvl="1" w:tplc="F24250D6">
      <w:numFmt w:val="bullet"/>
      <w:lvlText w:val="•"/>
      <w:lvlJc w:val="left"/>
      <w:pPr>
        <w:ind w:left="1674" w:hanging="360"/>
      </w:pPr>
      <w:rPr>
        <w:rFonts w:hint="default"/>
        <w:lang w:val="en-US" w:eastAsia="en-US" w:bidi="ar-SA"/>
      </w:rPr>
    </w:lvl>
    <w:lvl w:ilvl="2" w:tplc="9A2E56FC">
      <w:numFmt w:val="bullet"/>
      <w:lvlText w:val="•"/>
      <w:lvlJc w:val="left"/>
      <w:pPr>
        <w:ind w:left="2568" w:hanging="360"/>
      </w:pPr>
      <w:rPr>
        <w:rFonts w:hint="default"/>
        <w:lang w:val="en-US" w:eastAsia="en-US" w:bidi="ar-SA"/>
      </w:rPr>
    </w:lvl>
    <w:lvl w:ilvl="3" w:tplc="7292AC50">
      <w:numFmt w:val="bullet"/>
      <w:lvlText w:val="•"/>
      <w:lvlJc w:val="left"/>
      <w:pPr>
        <w:ind w:left="3462" w:hanging="360"/>
      </w:pPr>
      <w:rPr>
        <w:rFonts w:hint="default"/>
        <w:lang w:val="en-US" w:eastAsia="en-US" w:bidi="ar-SA"/>
      </w:rPr>
    </w:lvl>
    <w:lvl w:ilvl="4" w:tplc="0A12A4EE">
      <w:numFmt w:val="bullet"/>
      <w:lvlText w:val="•"/>
      <w:lvlJc w:val="left"/>
      <w:pPr>
        <w:ind w:left="4356" w:hanging="360"/>
      </w:pPr>
      <w:rPr>
        <w:rFonts w:hint="default"/>
        <w:lang w:val="en-US" w:eastAsia="en-US" w:bidi="ar-SA"/>
      </w:rPr>
    </w:lvl>
    <w:lvl w:ilvl="5" w:tplc="C82CCCFA">
      <w:numFmt w:val="bullet"/>
      <w:lvlText w:val="•"/>
      <w:lvlJc w:val="left"/>
      <w:pPr>
        <w:ind w:left="5250" w:hanging="360"/>
      </w:pPr>
      <w:rPr>
        <w:rFonts w:hint="default"/>
        <w:lang w:val="en-US" w:eastAsia="en-US" w:bidi="ar-SA"/>
      </w:rPr>
    </w:lvl>
    <w:lvl w:ilvl="6" w:tplc="40509BFC">
      <w:numFmt w:val="bullet"/>
      <w:lvlText w:val="•"/>
      <w:lvlJc w:val="left"/>
      <w:pPr>
        <w:ind w:left="6144" w:hanging="360"/>
      </w:pPr>
      <w:rPr>
        <w:rFonts w:hint="default"/>
        <w:lang w:val="en-US" w:eastAsia="en-US" w:bidi="ar-SA"/>
      </w:rPr>
    </w:lvl>
    <w:lvl w:ilvl="7" w:tplc="AB289C3A">
      <w:numFmt w:val="bullet"/>
      <w:lvlText w:val="•"/>
      <w:lvlJc w:val="left"/>
      <w:pPr>
        <w:ind w:left="7038" w:hanging="360"/>
      </w:pPr>
      <w:rPr>
        <w:rFonts w:hint="default"/>
        <w:lang w:val="en-US" w:eastAsia="en-US" w:bidi="ar-SA"/>
      </w:rPr>
    </w:lvl>
    <w:lvl w:ilvl="8" w:tplc="D894606E">
      <w:numFmt w:val="bullet"/>
      <w:lvlText w:val="•"/>
      <w:lvlJc w:val="left"/>
      <w:pPr>
        <w:ind w:left="7932" w:hanging="360"/>
      </w:pPr>
      <w:rPr>
        <w:rFonts w:hint="default"/>
        <w:lang w:val="en-US" w:eastAsia="en-US" w:bidi="ar-SA"/>
      </w:rPr>
    </w:lvl>
  </w:abstractNum>
  <w:abstractNum w:abstractNumId="5" w15:restartNumberingAfterBreak="0">
    <w:nsid w:val="22A83C2E"/>
    <w:multiLevelType w:val="multilevel"/>
    <w:tmpl w:val="E38C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E6F7A"/>
    <w:multiLevelType w:val="hybridMultilevel"/>
    <w:tmpl w:val="CA70A4E8"/>
    <w:lvl w:ilvl="0" w:tplc="F580CC64">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C286048C">
      <w:numFmt w:val="bullet"/>
      <w:lvlText w:val="•"/>
      <w:lvlJc w:val="left"/>
      <w:pPr>
        <w:ind w:left="1620" w:hanging="360"/>
      </w:pPr>
      <w:rPr>
        <w:rFonts w:hint="default"/>
        <w:lang w:val="en-US" w:eastAsia="en-US" w:bidi="ar-SA"/>
      </w:rPr>
    </w:lvl>
    <w:lvl w:ilvl="2" w:tplc="AF8AF7CE">
      <w:numFmt w:val="bullet"/>
      <w:lvlText w:val="•"/>
      <w:lvlJc w:val="left"/>
      <w:pPr>
        <w:ind w:left="2520" w:hanging="360"/>
      </w:pPr>
      <w:rPr>
        <w:rFonts w:hint="default"/>
        <w:lang w:val="en-US" w:eastAsia="en-US" w:bidi="ar-SA"/>
      </w:rPr>
    </w:lvl>
    <w:lvl w:ilvl="3" w:tplc="541C1E1A">
      <w:numFmt w:val="bullet"/>
      <w:lvlText w:val="•"/>
      <w:lvlJc w:val="left"/>
      <w:pPr>
        <w:ind w:left="3420" w:hanging="360"/>
      </w:pPr>
      <w:rPr>
        <w:rFonts w:hint="default"/>
        <w:lang w:val="en-US" w:eastAsia="en-US" w:bidi="ar-SA"/>
      </w:rPr>
    </w:lvl>
    <w:lvl w:ilvl="4" w:tplc="263AF968">
      <w:numFmt w:val="bullet"/>
      <w:lvlText w:val="•"/>
      <w:lvlJc w:val="left"/>
      <w:pPr>
        <w:ind w:left="4320" w:hanging="360"/>
      </w:pPr>
      <w:rPr>
        <w:rFonts w:hint="default"/>
        <w:lang w:val="en-US" w:eastAsia="en-US" w:bidi="ar-SA"/>
      </w:rPr>
    </w:lvl>
    <w:lvl w:ilvl="5" w:tplc="BFD4B76A">
      <w:numFmt w:val="bullet"/>
      <w:lvlText w:val="•"/>
      <w:lvlJc w:val="left"/>
      <w:pPr>
        <w:ind w:left="5220" w:hanging="360"/>
      </w:pPr>
      <w:rPr>
        <w:rFonts w:hint="default"/>
        <w:lang w:val="en-US" w:eastAsia="en-US" w:bidi="ar-SA"/>
      </w:rPr>
    </w:lvl>
    <w:lvl w:ilvl="6" w:tplc="CF8821D6">
      <w:numFmt w:val="bullet"/>
      <w:lvlText w:val="•"/>
      <w:lvlJc w:val="left"/>
      <w:pPr>
        <w:ind w:left="6120" w:hanging="360"/>
      </w:pPr>
      <w:rPr>
        <w:rFonts w:hint="default"/>
        <w:lang w:val="en-US" w:eastAsia="en-US" w:bidi="ar-SA"/>
      </w:rPr>
    </w:lvl>
    <w:lvl w:ilvl="7" w:tplc="891092F8">
      <w:numFmt w:val="bullet"/>
      <w:lvlText w:val="•"/>
      <w:lvlJc w:val="left"/>
      <w:pPr>
        <w:ind w:left="7020" w:hanging="360"/>
      </w:pPr>
      <w:rPr>
        <w:rFonts w:hint="default"/>
        <w:lang w:val="en-US" w:eastAsia="en-US" w:bidi="ar-SA"/>
      </w:rPr>
    </w:lvl>
    <w:lvl w:ilvl="8" w:tplc="DB04B4B0">
      <w:numFmt w:val="bullet"/>
      <w:lvlText w:val="•"/>
      <w:lvlJc w:val="left"/>
      <w:pPr>
        <w:ind w:left="7920" w:hanging="360"/>
      </w:pPr>
      <w:rPr>
        <w:rFonts w:hint="default"/>
        <w:lang w:val="en-US" w:eastAsia="en-US" w:bidi="ar-SA"/>
      </w:rPr>
    </w:lvl>
  </w:abstractNum>
  <w:abstractNum w:abstractNumId="7" w15:restartNumberingAfterBreak="0">
    <w:nsid w:val="29E74CF1"/>
    <w:multiLevelType w:val="hybridMultilevel"/>
    <w:tmpl w:val="000877A6"/>
    <w:lvl w:ilvl="0" w:tplc="B6C8A834">
      <w:start w:val="1"/>
      <w:numFmt w:val="decimal"/>
      <w:lvlText w:val="%1."/>
      <w:lvlJc w:val="left"/>
      <w:pPr>
        <w:ind w:left="1201" w:hanging="480"/>
      </w:pPr>
      <w:rPr>
        <w:rFonts w:ascii="Trebuchet MS" w:eastAsia="Trebuchet MS" w:hAnsi="Trebuchet MS" w:cs="Trebuchet MS" w:hint="default"/>
        <w:b w:val="0"/>
        <w:bCs w:val="0"/>
        <w:i w:val="0"/>
        <w:iCs w:val="0"/>
        <w:spacing w:val="-2"/>
        <w:w w:val="91"/>
        <w:sz w:val="20"/>
        <w:szCs w:val="20"/>
        <w:lang w:val="en-US" w:eastAsia="en-US" w:bidi="ar-SA"/>
      </w:rPr>
    </w:lvl>
    <w:lvl w:ilvl="1" w:tplc="83526A30">
      <w:numFmt w:val="bullet"/>
      <w:lvlText w:val="•"/>
      <w:lvlJc w:val="left"/>
      <w:pPr>
        <w:ind w:left="2052" w:hanging="480"/>
      </w:pPr>
      <w:rPr>
        <w:rFonts w:hint="default"/>
        <w:lang w:val="en-US" w:eastAsia="en-US" w:bidi="ar-SA"/>
      </w:rPr>
    </w:lvl>
    <w:lvl w:ilvl="2" w:tplc="217E3E76">
      <w:numFmt w:val="bullet"/>
      <w:lvlText w:val="•"/>
      <w:lvlJc w:val="left"/>
      <w:pPr>
        <w:ind w:left="2904" w:hanging="480"/>
      </w:pPr>
      <w:rPr>
        <w:rFonts w:hint="default"/>
        <w:lang w:val="en-US" w:eastAsia="en-US" w:bidi="ar-SA"/>
      </w:rPr>
    </w:lvl>
    <w:lvl w:ilvl="3" w:tplc="8F52B1F2">
      <w:numFmt w:val="bullet"/>
      <w:lvlText w:val="•"/>
      <w:lvlJc w:val="left"/>
      <w:pPr>
        <w:ind w:left="3756" w:hanging="480"/>
      </w:pPr>
      <w:rPr>
        <w:rFonts w:hint="default"/>
        <w:lang w:val="en-US" w:eastAsia="en-US" w:bidi="ar-SA"/>
      </w:rPr>
    </w:lvl>
    <w:lvl w:ilvl="4" w:tplc="27ECCC3C">
      <w:numFmt w:val="bullet"/>
      <w:lvlText w:val="•"/>
      <w:lvlJc w:val="left"/>
      <w:pPr>
        <w:ind w:left="4608" w:hanging="480"/>
      </w:pPr>
      <w:rPr>
        <w:rFonts w:hint="default"/>
        <w:lang w:val="en-US" w:eastAsia="en-US" w:bidi="ar-SA"/>
      </w:rPr>
    </w:lvl>
    <w:lvl w:ilvl="5" w:tplc="980C801A">
      <w:numFmt w:val="bullet"/>
      <w:lvlText w:val="•"/>
      <w:lvlJc w:val="left"/>
      <w:pPr>
        <w:ind w:left="5460" w:hanging="480"/>
      </w:pPr>
      <w:rPr>
        <w:rFonts w:hint="default"/>
        <w:lang w:val="en-US" w:eastAsia="en-US" w:bidi="ar-SA"/>
      </w:rPr>
    </w:lvl>
    <w:lvl w:ilvl="6" w:tplc="F0442B3A">
      <w:numFmt w:val="bullet"/>
      <w:lvlText w:val="•"/>
      <w:lvlJc w:val="left"/>
      <w:pPr>
        <w:ind w:left="6312" w:hanging="480"/>
      </w:pPr>
      <w:rPr>
        <w:rFonts w:hint="default"/>
        <w:lang w:val="en-US" w:eastAsia="en-US" w:bidi="ar-SA"/>
      </w:rPr>
    </w:lvl>
    <w:lvl w:ilvl="7" w:tplc="CF7E97F2">
      <w:numFmt w:val="bullet"/>
      <w:lvlText w:val="•"/>
      <w:lvlJc w:val="left"/>
      <w:pPr>
        <w:ind w:left="7164" w:hanging="480"/>
      </w:pPr>
      <w:rPr>
        <w:rFonts w:hint="default"/>
        <w:lang w:val="en-US" w:eastAsia="en-US" w:bidi="ar-SA"/>
      </w:rPr>
    </w:lvl>
    <w:lvl w:ilvl="8" w:tplc="C16A773E">
      <w:numFmt w:val="bullet"/>
      <w:lvlText w:val="•"/>
      <w:lvlJc w:val="left"/>
      <w:pPr>
        <w:ind w:left="8016" w:hanging="480"/>
      </w:pPr>
      <w:rPr>
        <w:rFonts w:hint="default"/>
        <w:lang w:val="en-US" w:eastAsia="en-US" w:bidi="ar-SA"/>
      </w:rPr>
    </w:lvl>
  </w:abstractNum>
  <w:abstractNum w:abstractNumId="8" w15:restartNumberingAfterBreak="0">
    <w:nsid w:val="3142704D"/>
    <w:multiLevelType w:val="hybridMultilevel"/>
    <w:tmpl w:val="F8F8E148"/>
    <w:lvl w:ilvl="0" w:tplc="2FE82DAE">
      <w:numFmt w:val="bullet"/>
      <w:lvlText w:val=""/>
      <w:lvlJc w:val="left"/>
      <w:pPr>
        <w:ind w:left="1181" w:hanging="361"/>
      </w:pPr>
      <w:rPr>
        <w:rFonts w:ascii="Symbol" w:eastAsia="Symbol" w:hAnsi="Symbol" w:cs="Symbol" w:hint="default"/>
        <w:spacing w:val="0"/>
        <w:w w:val="100"/>
        <w:lang w:val="en-US" w:eastAsia="en-US" w:bidi="ar-SA"/>
      </w:rPr>
    </w:lvl>
    <w:lvl w:ilvl="1" w:tplc="FAF05406">
      <w:numFmt w:val="bullet"/>
      <w:lvlText w:val="•"/>
      <w:lvlJc w:val="left"/>
      <w:pPr>
        <w:ind w:left="1602" w:hanging="361"/>
      </w:pPr>
      <w:rPr>
        <w:rFonts w:hint="default"/>
        <w:lang w:val="en-US" w:eastAsia="en-US" w:bidi="ar-SA"/>
      </w:rPr>
    </w:lvl>
    <w:lvl w:ilvl="2" w:tplc="BE428350">
      <w:numFmt w:val="bullet"/>
      <w:lvlText w:val="•"/>
      <w:lvlJc w:val="left"/>
      <w:pPr>
        <w:ind w:left="2025" w:hanging="361"/>
      </w:pPr>
      <w:rPr>
        <w:rFonts w:hint="default"/>
        <w:lang w:val="en-US" w:eastAsia="en-US" w:bidi="ar-SA"/>
      </w:rPr>
    </w:lvl>
    <w:lvl w:ilvl="3" w:tplc="02AA8692">
      <w:numFmt w:val="bullet"/>
      <w:lvlText w:val="•"/>
      <w:lvlJc w:val="left"/>
      <w:pPr>
        <w:ind w:left="2448" w:hanging="361"/>
      </w:pPr>
      <w:rPr>
        <w:rFonts w:hint="default"/>
        <w:lang w:val="en-US" w:eastAsia="en-US" w:bidi="ar-SA"/>
      </w:rPr>
    </w:lvl>
    <w:lvl w:ilvl="4" w:tplc="2A50A942">
      <w:numFmt w:val="bullet"/>
      <w:lvlText w:val="•"/>
      <w:lvlJc w:val="left"/>
      <w:pPr>
        <w:ind w:left="2871" w:hanging="361"/>
      </w:pPr>
      <w:rPr>
        <w:rFonts w:hint="default"/>
        <w:lang w:val="en-US" w:eastAsia="en-US" w:bidi="ar-SA"/>
      </w:rPr>
    </w:lvl>
    <w:lvl w:ilvl="5" w:tplc="E65CF54A">
      <w:numFmt w:val="bullet"/>
      <w:lvlText w:val="•"/>
      <w:lvlJc w:val="left"/>
      <w:pPr>
        <w:ind w:left="3294" w:hanging="361"/>
      </w:pPr>
      <w:rPr>
        <w:rFonts w:hint="default"/>
        <w:lang w:val="en-US" w:eastAsia="en-US" w:bidi="ar-SA"/>
      </w:rPr>
    </w:lvl>
    <w:lvl w:ilvl="6" w:tplc="AD869A3C">
      <w:numFmt w:val="bullet"/>
      <w:lvlText w:val="•"/>
      <w:lvlJc w:val="left"/>
      <w:pPr>
        <w:ind w:left="3717" w:hanging="361"/>
      </w:pPr>
      <w:rPr>
        <w:rFonts w:hint="default"/>
        <w:lang w:val="en-US" w:eastAsia="en-US" w:bidi="ar-SA"/>
      </w:rPr>
    </w:lvl>
    <w:lvl w:ilvl="7" w:tplc="72BE6CFC">
      <w:numFmt w:val="bullet"/>
      <w:lvlText w:val="•"/>
      <w:lvlJc w:val="left"/>
      <w:pPr>
        <w:ind w:left="4139" w:hanging="361"/>
      </w:pPr>
      <w:rPr>
        <w:rFonts w:hint="default"/>
        <w:lang w:val="en-US" w:eastAsia="en-US" w:bidi="ar-SA"/>
      </w:rPr>
    </w:lvl>
    <w:lvl w:ilvl="8" w:tplc="9294C90C">
      <w:numFmt w:val="bullet"/>
      <w:lvlText w:val="•"/>
      <w:lvlJc w:val="left"/>
      <w:pPr>
        <w:ind w:left="4562" w:hanging="361"/>
      </w:pPr>
      <w:rPr>
        <w:rFonts w:hint="default"/>
        <w:lang w:val="en-US" w:eastAsia="en-US" w:bidi="ar-SA"/>
      </w:rPr>
    </w:lvl>
  </w:abstractNum>
  <w:abstractNum w:abstractNumId="9" w15:restartNumberingAfterBreak="0">
    <w:nsid w:val="33CC69B7"/>
    <w:multiLevelType w:val="hybridMultilevel"/>
    <w:tmpl w:val="C4044B5E"/>
    <w:lvl w:ilvl="0" w:tplc="A7BECD08">
      <w:numFmt w:val="bullet"/>
      <w:lvlText w:val="–"/>
      <w:lvlJc w:val="left"/>
      <w:pPr>
        <w:ind w:left="21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47807D82">
      <w:numFmt w:val="bullet"/>
      <w:lvlText w:val=""/>
      <w:lvlJc w:val="left"/>
      <w:pPr>
        <w:ind w:left="721" w:hanging="360"/>
      </w:pPr>
      <w:rPr>
        <w:rFonts w:ascii="Symbol" w:eastAsia="Symbol" w:hAnsi="Symbol" w:cs="Symbol" w:hint="default"/>
        <w:spacing w:val="0"/>
        <w:w w:val="100"/>
        <w:lang w:val="en-US" w:eastAsia="en-US" w:bidi="ar-SA"/>
      </w:rPr>
    </w:lvl>
    <w:lvl w:ilvl="2" w:tplc="76C62274">
      <w:numFmt w:val="bullet"/>
      <w:lvlText w:val="•"/>
      <w:lvlJc w:val="left"/>
      <w:pPr>
        <w:ind w:left="570" w:hanging="360"/>
      </w:pPr>
      <w:rPr>
        <w:rFonts w:hint="default"/>
        <w:lang w:val="en-US" w:eastAsia="en-US" w:bidi="ar-SA"/>
      </w:rPr>
    </w:lvl>
    <w:lvl w:ilvl="3" w:tplc="014C0E82">
      <w:numFmt w:val="bullet"/>
      <w:lvlText w:val="•"/>
      <w:lvlJc w:val="left"/>
      <w:pPr>
        <w:ind w:left="420" w:hanging="360"/>
      </w:pPr>
      <w:rPr>
        <w:rFonts w:hint="default"/>
        <w:lang w:val="en-US" w:eastAsia="en-US" w:bidi="ar-SA"/>
      </w:rPr>
    </w:lvl>
    <w:lvl w:ilvl="4" w:tplc="E0FCCEF0">
      <w:numFmt w:val="bullet"/>
      <w:lvlText w:val="•"/>
      <w:lvlJc w:val="left"/>
      <w:pPr>
        <w:ind w:left="270" w:hanging="360"/>
      </w:pPr>
      <w:rPr>
        <w:rFonts w:hint="default"/>
        <w:lang w:val="en-US" w:eastAsia="en-US" w:bidi="ar-SA"/>
      </w:rPr>
    </w:lvl>
    <w:lvl w:ilvl="5" w:tplc="448C1BCC">
      <w:numFmt w:val="bullet"/>
      <w:lvlText w:val="•"/>
      <w:lvlJc w:val="left"/>
      <w:pPr>
        <w:ind w:left="120" w:hanging="360"/>
      </w:pPr>
      <w:rPr>
        <w:rFonts w:hint="default"/>
        <w:lang w:val="en-US" w:eastAsia="en-US" w:bidi="ar-SA"/>
      </w:rPr>
    </w:lvl>
    <w:lvl w:ilvl="6" w:tplc="B528466A">
      <w:numFmt w:val="bullet"/>
      <w:lvlText w:val="•"/>
      <w:lvlJc w:val="left"/>
      <w:pPr>
        <w:ind w:left="-30" w:hanging="360"/>
      </w:pPr>
      <w:rPr>
        <w:rFonts w:hint="default"/>
        <w:lang w:val="en-US" w:eastAsia="en-US" w:bidi="ar-SA"/>
      </w:rPr>
    </w:lvl>
    <w:lvl w:ilvl="7" w:tplc="D794FB82">
      <w:numFmt w:val="bullet"/>
      <w:lvlText w:val="•"/>
      <w:lvlJc w:val="left"/>
      <w:pPr>
        <w:ind w:left="-179" w:hanging="360"/>
      </w:pPr>
      <w:rPr>
        <w:rFonts w:hint="default"/>
        <w:lang w:val="en-US" w:eastAsia="en-US" w:bidi="ar-SA"/>
      </w:rPr>
    </w:lvl>
    <w:lvl w:ilvl="8" w:tplc="476454E4">
      <w:numFmt w:val="bullet"/>
      <w:lvlText w:val="•"/>
      <w:lvlJc w:val="left"/>
      <w:pPr>
        <w:ind w:left="-329" w:hanging="360"/>
      </w:pPr>
      <w:rPr>
        <w:rFonts w:hint="default"/>
        <w:lang w:val="en-US" w:eastAsia="en-US" w:bidi="ar-SA"/>
      </w:rPr>
    </w:lvl>
  </w:abstractNum>
  <w:abstractNum w:abstractNumId="10" w15:restartNumberingAfterBreak="0">
    <w:nsid w:val="37FE453F"/>
    <w:multiLevelType w:val="hybridMultilevel"/>
    <w:tmpl w:val="755810F8"/>
    <w:lvl w:ilvl="0" w:tplc="44D4DFE2">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A04C35B0">
      <w:numFmt w:val="bullet"/>
      <w:lvlText w:val="•"/>
      <w:lvlJc w:val="left"/>
      <w:pPr>
        <w:ind w:left="1620" w:hanging="360"/>
      </w:pPr>
      <w:rPr>
        <w:rFonts w:hint="default"/>
        <w:lang w:val="en-US" w:eastAsia="en-US" w:bidi="ar-SA"/>
      </w:rPr>
    </w:lvl>
    <w:lvl w:ilvl="2" w:tplc="F842A8AA">
      <w:numFmt w:val="bullet"/>
      <w:lvlText w:val="•"/>
      <w:lvlJc w:val="left"/>
      <w:pPr>
        <w:ind w:left="2520" w:hanging="360"/>
      </w:pPr>
      <w:rPr>
        <w:rFonts w:hint="default"/>
        <w:lang w:val="en-US" w:eastAsia="en-US" w:bidi="ar-SA"/>
      </w:rPr>
    </w:lvl>
    <w:lvl w:ilvl="3" w:tplc="0F2A4252">
      <w:numFmt w:val="bullet"/>
      <w:lvlText w:val="•"/>
      <w:lvlJc w:val="left"/>
      <w:pPr>
        <w:ind w:left="3420" w:hanging="360"/>
      </w:pPr>
      <w:rPr>
        <w:rFonts w:hint="default"/>
        <w:lang w:val="en-US" w:eastAsia="en-US" w:bidi="ar-SA"/>
      </w:rPr>
    </w:lvl>
    <w:lvl w:ilvl="4" w:tplc="A8CAE17E">
      <w:numFmt w:val="bullet"/>
      <w:lvlText w:val="•"/>
      <w:lvlJc w:val="left"/>
      <w:pPr>
        <w:ind w:left="4320" w:hanging="360"/>
      </w:pPr>
      <w:rPr>
        <w:rFonts w:hint="default"/>
        <w:lang w:val="en-US" w:eastAsia="en-US" w:bidi="ar-SA"/>
      </w:rPr>
    </w:lvl>
    <w:lvl w:ilvl="5" w:tplc="62A82EC0">
      <w:numFmt w:val="bullet"/>
      <w:lvlText w:val="•"/>
      <w:lvlJc w:val="left"/>
      <w:pPr>
        <w:ind w:left="5220" w:hanging="360"/>
      </w:pPr>
      <w:rPr>
        <w:rFonts w:hint="default"/>
        <w:lang w:val="en-US" w:eastAsia="en-US" w:bidi="ar-SA"/>
      </w:rPr>
    </w:lvl>
    <w:lvl w:ilvl="6" w:tplc="CF4E5ECA">
      <w:numFmt w:val="bullet"/>
      <w:lvlText w:val="•"/>
      <w:lvlJc w:val="left"/>
      <w:pPr>
        <w:ind w:left="6120" w:hanging="360"/>
      </w:pPr>
      <w:rPr>
        <w:rFonts w:hint="default"/>
        <w:lang w:val="en-US" w:eastAsia="en-US" w:bidi="ar-SA"/>
      </w:rPr>
    </w:lvl>
    <w:lvl w:ilvl="7" w:tplc="C21C661A">
      <w:numFmt w:val="bullet"/>
      <w:lvlText w:val="•"/>
      <w:lvlJc w:val="left"/>
      <w:pPr>
        <w:ind w:left="7020" w:hanging="360"/>
      </w:pPr>
      <w:rPr>
        <w:rFonts w:hint="default"/>
        <w:lang w:val="en-US" w:eastAsia="en-US" w:bidi="ar-SA"/>
      </w:rPr>
    </w:lvl>
    <w:lvl w:ilvl="8" w:tplc="777AEC6A">
      <w:numFmt w:val="bullet"/>
      <w:lvlText w:val="•"/>
      <w:lvlJc w:val="left"/>
      <w:pPr>
        <w:ind w:left="7920" w:hanging="360"/>
      </w:pPr>
      <w:rPr>
        <w:rFonts w:hint="default"/>
        <w:lang w:val="en-US" w:eastAsia="en-US" w:bidi="ar-SA"/>
      </w:rPr>
    </w:lvl>
  </w:abstractNum>
  <w:abstractNum w:abstractNumId="11" w15:restartNumberingAfterBreak="0">
    <w:nsid w:val="3D0B18C4"/>
    <w:multiLevelType w:val="multilevel"/>
    <w:tmpl w:val="8FB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C68AA"/>
    <w:multiLevelType w:val="multilevel"/>
    <w:tmpl w:val="0B54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85B77"/>
    <w:multiLevelType w:val="hybridMultilevel"/>
    <w:tmpl w:val="72B6180E"/>
    <w:lvl w:ilvl="0" w:tplc="2386397E">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26FAD23E">
      <w:numFmt w:val="bullet"/>
      <w:lvlText w:val="•"/>
      <w:lvlJc w:val="left"/>
      <w:pPr>
        <w:ind w:left="1620" w:hanging="360"/>
      </w:pPr>
      <w:rPr>
        <w:rFonts w:hint="default"/>
        <w:lang w:val="en-US" w:eastAsia="en-US" w:bidi="ar-SA"/>
      </w:rPr>
    </w:lvl>
    <w:lvl w:ilvl="2" w:tplc="3D46261C">
      <w:numFmt w:val="bullet"/>
      <w:lvlText w:val="•"/>
      <w:lvlJc w:val="left"/>
      <w:pPr>
        <w:ind w:left="2520" w:hanging="360"/>
      </w:pPr>
      <w:rPr>
        <w:rFonts w:hint="default"/>
        <w:lang w:val="en-US" w:eastAsia="en-US" w:bidi="ar-SA"/>
      </w:rPr>
    </w:lvl>
    <w:lvl w:ilvl="3" w:tplc="5AD2861E">
      <w:numFmt w:val="bullet"/>
      <w:lvlText w:val="•"/>
      <w:lvlJc w:val="left"/>
      <w:pPr>
        <w:ind w:left="3420" w:hanging="360"/>
      </w:pPr>
      <w:rPr>
        <w:rFonts w:hint="default"/>
        <w:lang w:val="en-US" w:eastAsia="en-US" w:bidi="ar-SA"/>
      </w:rPr>
    </w:lvl>
    <w:lvl w:ilvl="4" w:tplc="A0FC7A76">
      <w:numFmt w:val="bullet"/>
      <w:lvlText w:val="•"/>
      <w:lvlJc w:val="left"/>
      <w:pPr>
        <w:ind w:left="4320" w:hanging="360"/>
      </w:pPr>
      <w:rPr>
        <w:rFonts w:hint="default"/>
        <w:lang w:val="en-US" w:eastAsia="en-US" w:bidi="ar-SA"/>
      </w:rPr>
    </w:lvl>
    <w:lvl w:ilvl="5" w:tplc="A174799E">
      <w:numFmt w:val="bullet"/>
      <w:lvlText w:val="•"/>
      <w:lvlJc w:val="left"/>
      <w:pPr>
        <w:ind w:left="5220" w:hanging="360"/>
      </w:pPr>
      <w:rPr>
        <w:rFonts w:hint="default"/>
        <w:lang w:val="en-US" w:eastAsia="en-US" w:bidi="ar-SA"/>
      </w:rPr>
    </w:lvl>
    <w:lvl w:ilvl="6" w:tplc="150026D0">
      <w:numFmt w:val="bullet"/>
      <w:lvlText w:val="•"/>
      <w:lvlJc w:val="left"/>
      <w:pPr>
        <w:ind w:left="6120" w:hanging="360"/>
      </w:pPr>
      <w:rPr>
        <w:rFonts w:hint="default"/>
        <w:lang w:val="en-US" w:eastAsia="en-US" w:bidi="ar-SA"/>
      </w:rPr>
    </w:lvl>
    <w:lvl w:ilvl="7" w:tplc="3FECC6C2">
      <w:numFmt w:val="bullet"/>
      <w:lvlText w:val="•"/>
      <w:lvlJc w:val="left"/>
      <w:pPr>
        <w:ind w:left="7020" w:hanging="360"/>
      </w:pPr>
      <w:rPr>
        <w:rFonts w:hint="default"/>
        <w:lang w:val="en-US" w:eastAsia="en-US" w:bidi="ar-SA"/>
      </w:rPr>
    </w:lvl>
    <w:lvl w:ilvl="8" w:tplc="97E6F17A">
      <w:numFmt w:val="bullet"/>
      <w:lvlText w:val="•"/>
      <w:lvlJc w:val="left"/>
      <w:pPr>
        <w:ind w:left="7920" w:hanging="360"/>
      </w:pPr>
      <w:rPr>
        <w:rFonts w:hint="default"/>
        <w:lang w:val="en-US" w:eastAsia="en-US" w:bidi="ar-SA"/>
      </w:rPr>
    </w:lvl>
  </w:abstractNum>
  <w:abstractNum w:abstractNumId="14" w15:restartNumberingAfterBreak="0">
    <w:nsid w:val="55AD189D"/>
    <w:multiLevelType w:val="hybridMultilevel"/>
    <w:tmpl w:val="EF2AC7A8"/>
    <w:lvl w:ilvl="0" w:tplc="F370D108">
      <w:numFmt w:val="bullet"/>
      <w:lvlText w:val=""/>
      <w:lvlJc w:val="left"/>
      <w:pPr>
        <w:ind w:left="721" w:hanging="360"/>
      </w:pPr>
      <w:rPr>
        <w:rFonts w:ascii="Symbol" w:eastAsia="Symbol" w:hAnsi="Symbol" w:cs="Symbol" w:hint="default"/>
        <w:b w:val="0"/>
        <w:bCs w:val="0"/>
        <w:i w:val="0"/>
        <w:iCs w:val="0"/>
        <w:spacing w:val="0"/>
        <w:w w:val="100"/>
        <w:sz w:val="22"/>
        <w:szCs w:val="22"/>
        <w:lang w:val="en-US" w:eastAsia="en-US" w:bidi="ar-SA"/>
      </w:rPr>
    </w:lvl>
    <w:lvl w:ilvl="1" w:tplc="D6948FB0">
      <w:numFmt w:val="bullet"/>
      <w:lvlText w:val="•"/>
      <w:lvlJc w:val="left"/>
      <w:pPr>
        <w:ind w:left="1620" w:hanging="360"/>
      </w:pPr>
      <w:rPr>
        <w:rFonts w:hint="default"/>
        <w:lang w:val="en-US" w:eastAsia="en-US" w:bidi="ar-SA"/>
      </w:rPr>
    </w:lvl>
    <w:lvl w:ilvl="2" w:tplc="F74E100A">
      <w:numFmt w:val="bullet"/>
      <w:lvlText w:val="•"/>
      <w:lvlJc w:val="left"/>
      <w:pPr>
        <w:ind w:left="2520" w:hanging="360"/>
      </w:pPr>
      <w:rPr>
        <w:rFonts w:hint="default"/>
        <w:lang w:val="en-US" w:eastAsia="en-US" w:bidi="ar-SA"/>
      </w:rPr>
    </w:lvl>
    <w:lvl w:ilvl="3" w:tplc="CCD6C1AE">
      <w:numFmt w:val="bullet"/>
      <w:lvlText w:val="•"/>
      <w:lvlJc w:val="left"/>
      <w:pPr>
        <w:ind w:left="3420" w:hanging="360"/>
      </w:pPr>
      <w:rPr>
        <w:rFonts w:hint="default"/>
        <w:lang w:val="en-US" w:eastAsia="en-US" w:bidi="ar-SA"/>
      </w:rPr>
    </w:lvl>
    <w:lvl w:ilvl="4" w:tplc="C3CAAEF2">
      <w:numFmt w:val="bullet"/>
      <w:lvlText w:val="•"/>
      <w:lvlJc w:val="left"/>
      <w:pPr>
        <w:ind w:left="4320" w:hanging="360"/>
      </w:pPr>
      <w:rPr>
        <w:rFonts w:hint="default"/>
        <w:lang w:val="en-US" w:eastAsia="en-US" w:bidi="ar-SA"/>
      </w:rPr>
    </w:lvl>
    <w:lvl w:ilvl="5" w:tplc="E9760030">
      <w:numFmt w:val="bullet"/>
      <w:lvlText w:val="•"/>
      <w:lvlJc w:val="left"/>
      <w:pPr>
        <w:ind w:left="5220" w:hanging="360"/>
      </w:pPr>
      <w:rPr>
        <w:rFonts w:hint="default"/>
        <w:lang w:val="en-US" w:eastAsia="en-US" w:bidi="ar-SA"/>
      </w:rPr>
    </w:lvl>
    <w:lvl w:ilvl="6" w:tplc="77A433DE">
      <w:numFmt w:val="bullet"/>
      <w:lvlText w:val="•"/>
      <w:lvlJc w:val="left"/>
      <w:pPr>
        <w:ind w:left="6120" w:hanging="360"/>
      </w:pPr>
      <w:rPr>
        <w:rFonts w:hint="default"/>
        <w:lang w:val="en-US" w:eastAsia="en-US" w:bidi="ar-SA"/>
      </w:rPr>
    </w:lvl>
    <w:lvl w:ilvl="7" w:tplc="16D8D050">
      <w:numFmt w:val="bullet"/>
      <w:lvlText w:val="•"/>
      <w:lvlJc w:val="left"/>
      <w:pPr>
        <w:ind w:left="7020" w:hanging="360"/>
      </w:pPr>
      <w:rPr>
        <w:rFonts w:hint="default"/>
        <w:lang w:val="en-US" w:eastAsia="en-US" w:bidi="ar-SA"/>
      </w:rPr>
    </w:lvl>
    <w:lvl w:ilvl="8" w:tplc="12AE18FA">
      <w:numFmt w:val="bullet"/>
      <w:lvlText w:val="•"/>
      <w:lvlJc w:val="left"/>
      <w:pPr>
        <w:ind w:left="7920" w:hanging="360"/>
      </w:pPr>
      <w:rPr>
        <w:rFonts w:hint="default"/>
        <w:lang w:val="en-US" w:eastAsia="en-US" w:bidi="ar-SA"/>
      </w:rPr>
    </w:lvl>
  </w:abstractNum>
  <w:abstractNum w:abstractNumId="15" w15:restartNumberingAfterBreak="0">
    <w:nsid w:val="592366B9"/>
    <w:multiLevelType w:val="multilevel"/>
    <w:tmpl w:val="032E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2282B"/>
    <w:multiLevelType w:val="hybridMultilevel"/>
    <w:tmpl w:val="84BCB874"/>
    <w:lvl w:ilvl="0" w:tplc="D6F28B44">
      <w:start w:val="1"/>
      <w:numFmt w:val="decimal"/>
      <w:lvlText w:val="%1."/>
      <w:lvlJc w:val="left"/>
      <w:pPr>
        <w:ind w:left="721" w:hanging="360"/>
      </w:pPr>
      <w:rPr>
        <w:rFonts w:ascii="Times New Roman" w:eastAsia="Times New Roman" w:hAnsi="Times New Roman" w:cs="Times New Roman" w:hint="default"/>
        <w:b/>
        <w:bCs/>
        <w:i w:val="0"/>
        <w:iCs w:val="0"/>
        <w:spacing w:val="0"/>
        <w:w w:val="100"/>
        <w:sz w:val="26"/>
        <w:szCs w:val="26"/>
        <w:lang w:val="en-US" w:eastAsia="en-US" w:bidi="ar-SA"/>
      </w:rPr>
    </w:lvl>
    <w:lvl w:ilvl="1" w:tplc="40601BB0">
      <w:numFmt w:val="bullet"/>
      <w:lvlText w:val=""/>
      <w:lvlJc w:val="left"/>
      <w:pPr>
        <w:ind w:left="1031" w:hanging="361"/>
      </w:pPr>
      <w:rPr>
        <w:rFonts w:ascii="Symbol" w:eastAsia="Symbol" w:hAnsi="Symbol" w:cs="Symbol" w:hint="default"/>
        <w:b w:val="0"/>
        <w:bCs w:val="0"/>
        <w:i w:val="0"/>
        <w:iCs w:val="0"/>
        <w:spacing w:val="0"/>
        <w:w w:val="100"/>
        <w:sz w:val="20"/>
        <w:szCs w:val="20"/>
        <w:lang w:val="en-US" w:eastAsia="en-US" w:bidi="ar-SA"/>
      </w:rPr>
    </w:lvl>
    <w:lvl w:ilvl="2" w:tplc="96C8ED90">
      <w:numFmt w:val="bullet"/>
      <w:lvlText w:val=""/>
      <w:lvlJc w:val="left"/>
      <w:pPr>
        <w:ind w:left="1271" w:hanging="361"/>
      </w:pPr>
      <w:rPr>
        <w:rFonts w:ascii="Symbol" w:eastAsia="Symbol" w:hAnsi="Symbol" w:cs="Symbol" w:hint="default"/>
        <w:spacing w:val="0"/>
        <w:w w:val="100"/>
        <w:lang w:val="en-US" w:eastAsia="en-US" w:bidi="ar-SA"/>
      </w:rPr>
    </w:lvl>
    <w:lvl w:ilvl="3" w:tplc="55EE23CE">
      <w:numFmt w:val="bullet"/>
      <w:lvlText w:val="•"/>
      <w:lvlJc w:val="left"/>
      <w:pPr>
        <w:ind w:left="1787" w:hanging="361"/>
      </w:pPr>
      <w:rPr>
        <w:rFonts w:hint="default"/>
        <w:lang w:val="en-US" w:eastAsia="en-US" w:bidi="ar-SA"/>
      </w:rPr>
    </w:lvl>
    <w:lvl w:ilvl="4" w:tplc="E02A68E4">
      <w:numFmt w:val="bullet"/>
      <w:lvlText w:val="•"/>
      <w:lvlJc w:val="left"/>
      <w:pPr>
        <w:ind w:left="2295" w:hanging="361"/>
      </w:pPr>
      <w:rPr>
        <w:rFonts w:hint="default"/>
        <w:lang w:val="en-US" w:eastAsia="en-US" w:bidi="ar-SA"/>
      </w:rPr>
    </w:lvl>
    <w:lvl w:ilvl="5" w:tplc="55F87D46">
      <w:numFmt w:val="bullet"/>
      <w:lvlText w:val="•"/>
      <w:lvlJc w:val="left"/>
      <w:pPr>
        <w:ind w:left="2803" w:hanging="361"/>
      </w:pPr>
      <w:rPr>
        <w:rFonts w:hint="default"/>
        <w:lang w:val="en-US" w:eastAsia="en-US" w:bidi="ar-SA"/>
      </w:rPr>
    </w:lvl>
    <w:lvl w:ilvl="6" w:tplc="74A0826A">
      <w:numFmt w:val="bullet"/>
      <w:lvlText w:val="•"/>
      <w:lvlJc w:val="left"/>
      <w:pPr>
        <w:ind w:left="3311" w:hanging="361"/>
      </w:pPr>
      <w:rPr>
        <w:rFonts w:hint="default"/>
        <w:lang w:val="en-US" w:eastAsia="en-US" w:bidi="ar-SA"/>
      </w:rPr>
    </w:lvl>
    <w:lvl w:ilvl="7" w:tplc="B28C2752">
      <w:numFmt w:val="bullet"/>
      <w:lvlText w:val="•"/>
      <w:lvlJc w:val="left"/>
      <w:pPr>
        <w:ind w:left="3819" w:hanging="361"/>
      </w:pPr>
      <w:rPr>
        <w:rFonts w:hint="default"/>
        <w:lang w:val="en-US" w:eastAsia="en-US" w:bidi="ar-SA"/>
      </w:rPr>
    </w:lvl>
    <w:lvl w:ilvl="8" w:tplc="CB4E0F56">
      <w:numFmt w:val="bullet"/>
      <w:lvlText w:val="•"/>
      <w:lvlJc w:val="left"/>
      <w:pPr>
        <w:ind w:left="4327" w:hanging="361"/>
      </w:pPr>
      <w:rPr>
        <w:rFonts w:hint="default"/>
        <w:lang w:val="en-US" w:eastAsia="en-US" w:bidi="ar-SA"/>
      </w:rPr>
    </w:lvl>
  </w:abstractNum>
  <w:abstractNum w:abstractNumId="17" w15:restartNumberingAfterBreak="0">
    <w:nsid w:val="5F69092D"/>
    <w:multiLevelType w:val="hybridMultilevel"/>
    <w:tmpl w:val="7E5E7934"/>
    <w:lvl w:ilvl="0" w:tplc="60DE845A">
      <w:numFmt w:val="bullet"/>
      <w:lvlText w:val="–"/>
      <w:lvlJc w:val="left"/>
      <w:pPr>
        <w:ind w:left="215" w:hanging="181"/>
      </w:pPr>
      <w:rPr>
        <w:rFonts w:ascii="Times New Roman" w:eastAsia="Times New Roman" w:hAnsi="Times New Roman" w:cs="Times New Roman" w:hint="default"/>
        <w:b w:val="0"/>
        <w:bCs w:val="0"/>
        <w:i w:val="0"/>
        <w:iCs w:val="0"/>
        <w:spacing w:val="0"/>
        <w:w w:val="100"/>
        <w:sz w:val="24"/>
        <w:szCs w:val="24"/>
        <w:lang w:val="en-US" w:eastAsia="en-US" w:bidi="ar-SA"/>
      </w:rPr>
    </w:lvl>
    <w:lvl w:ilvl="1" w:tplc="01C8D01C">
      <w:numFmt w:val="bullet"/>
      <w:lvlText w:val=""/>
      <w:lvlJc w:val="left"/>
      <w:pPr>
        <w:ind w:left="721" w:hanging="360"/>
      </w:pPr>
      <w:rPr>
        <w:rFonts w:ascii="Symbol" w:eastAsia="Symbol" w:hAnsi="Symbol" w:cs="Symbol" w:hint="default"/>
        <w:spacing w:val="0"/>
        <w:w w:val="100"/>
        <w:lang w:val="en-US" w:eastAsia="en-US" w:bidi="ar-SA"/>
      </w:rPr>
    </w:lvl>
    <w:lvl w:ilvl="2" w:tplc="45A8CB82">
      <w:numFmt w:val="bullet"/>
      <w:lvlText w:val="•"/>
      <w:lvlJc w:val="left"/>
      <w:pPr>
        <w:ind w:left="552" w:hanging="360"/>
      </w:pPr>
      <w:rPr>
        <w:rFonts w:hint="default"/>
        <w:lang w:val="en-US" w:eastAsia="en-US" w:bidi="ar-SA"/>
      </w:rPr>
    </w:lvl>
    <w:lvl w:ilvl="3" w:tplc="D69E0D4C">
      <w:numFmt w:val="bullet"/>
      <w:lvlText w:val="•"/>
      <w:lvlJc w:val="left"/>
      <w:pPr>
        <w:ind w:left="384" w:hanging="360"/>
      </w:pPr>
      <w:rPr>
        <w:rFonts w:hint="default"/>
        <w:lang w:val="en-US" w:eastAsia="en-US" w:bidi="ar-SA"/>
      </w:rPr>
    </w:lvl>
    <w:lvl w:ilvl="4" w:tplc="77A0AE46">
      <w:numFmt w:val="bullet"/>
      <w:lvlText w:val="•"/>
      <w:lvlJc w:val="left"/>
      <w:pPr>
        <w:ind w:left="217" w:hanging="360"/>
      </w:pPr>
      <w:rPr>
        <w:rFonts w:hint="default"/>
        <w:lang w:val="en-US" w:eastAsia="en-US" w:bidi="ar-SA"/>
      </w:rPr>
    </w:lvl>
    <w:lvl w:ilvl="5" w:tplc="4B78C0B2">
      <w:numFmt w:val="bullet"/>
      <w:lvlText w:val="•"/>
      <w:lvlJc w:val="left"/>
      <w:pPr>
        <w:ind w:left="49" w:hanging="360"/>
      </w:pPr>
      <w:rPr>
        <w:rFonts w:hint="default"/>
        <w:lang w:val="en-US" w:eastAsia="en-US" w:bidi="ar-SA"/>
      </w:rPr>
    </w:lvl>
    <w:lvl w:ilvl="6" w:tplc="EE6422C2">
      <w:numFmt w:val="bullet"/>
      <w:lvlText w:val="•"/>
      <w:lvlJc w:val="left"/>
      <w:pPr>
        <w:ind w:left="-118" w:hanging="360"/>
      </w:pPr>
      <w:rPr>
        <w:rFonts w:hint="default"/>
        <w:lang w:val="en-US" w:eastAsia="en-US" w:bidi="ar-SA"/>
      </w:rPr>
    </w:lvl>
    <w:lvl w:ilvl="7" w:tplc="B3F0915C">
      <w:numFmt w:val="bullet"/>
      <w:lvlText w:val="•"/>
      <w:lvlJc w:val="left"/>
      <w:pPr>
        <w:ind w:left="-286" w:hanging="360"/>
      </w:pPr>
      <w:rPr>
        <w:rFonts w:hint="default"/>
        <w:lang w:val="en-US" w:eastAsia="en-US" w:bidi="ar-SA"/>
      </w:rPr>
    </w:lvl>
    <w:lvl w:ilvl="8" w:tplc="EE4ECDA6">
      <w:numFmt w:val="bullet"/>
      <w:lvlText w:val="•"/>
      <w:lvlJc w:val="left"/>
      <w:pPr>
        <w:ind w:left="-454" w:hanging="360"/>
      </w:pPr>
      <w:rPr>
        <w:rFonts w:hint="default"/>
        <w:lang w:val="en-US" w:eastAsia="en-US" w:bidi="ar-SA"/>
      </w:rPr>
    </w:lvl>
  </w:abstractNum>
  <w:abstractNum w:abstractNumId="18" w15:restartNumberingAfterBreak="0">
    <w:nsid w:val="5F9A6F73"/>
    <w:multiLevelType w:val="hybridMultilevel"/>
    <w:tmpl w:val="99BC5B5C"/>
    <w:lvl w:ilvl="0" w:tplc="565C94BA">
      <w:start w:val="1"/>
      <w:numFmt w:val="decimal"/>
      <w:lvlText w:val="%1."/>
      <w:lvlJc w:val="left"/>
      <w:pPr>
        <w:ind w:left="1201" w:hanging="480"/>
      </w:pPr>
      <w:rPr>
        <w:rFonts w:ascii="Trebuchet MS" w:eastAsia="Trebuchet MS" w:hAnsi="Trebuchet MS" w:cs="Trebuchet MS" w:hint="default"/>
        <w:b w:val="0"/>
        <w:bCs w:val="0"/>
        <w:i w:val="0"/>
        <w:iCs w:val="0"/>
        <w:spacing w:val="-2"/>
        <w:w w:val="91"/>
        <w:sz w:val="20"/>
        <w:szCs w:val="20"/>
        <w:lang w:val="en-US" w:eastAsia="en-US" w:bidi="ar-SA"/>
      </w:rPr>
    </w:lvl>
    <w:lvl w:ilvl="1" w:tplc="2654B3D4">
      <w:numFmt w:val="bullet"/>
      <w:lvlText w:val="•"/>
      <w:lvlJc w:val="left"/>
      <w:pPr>
        <w:ind w:left="2052" w:hanging="480"/>
      </w:pPr>
      <w:rPr>
        <w:rFonts w:hint="default"/>
        <w:lang w:val="en-US" w:eastAsia="en-US" w:bidi="ar-SA"/>
      </w:rPr>
    </w:lvl>
    <w:lvl w:ilvl="2" w:tplc="5E88E3A2">
      <w:numFmt w:val="bullet"/>
      <w:lvlText w:val="•"/>
      <w:lvlJc w:val="left"/>
      <w:pPr>
        <w:ind w:left="2904" w:hanging="480"/>
      </w:pPr>
      <w:rPr>
        <w:rFonts w:hint="default"/>
        <w:lang w:val="en-US" w:eastAsia="en-US" w:bidi="ar-SA"/>
      </w:rPr>
    </w:lvl>
    <w:lvl w:ilvl="3" w:tplc="5A1A1706">
      <w:numFmt w:val="bullet"/>
      <w:lvlText w:val="•"/>
      <w:lvlJc w:val="left"/>
      <w:pPr>
        <w:ind w:left="3756" w:hanging="480"/>
      </w:pPr>
      <w:rPr>
        <w:rFonts w:hint="default"/>
        <w:lang w:val="en-US" w:eastAsia="en-US" w:bidi="ar-SA"/>
      </w:rPr>
    </w:lvl>
    <w:lvl w:ilvl="4" w:tplc="ACBAFEF4">
      <w:numFmt w:val="bullet"/>
      <w:lvlText w:val="•"/>
      <w:lvlJc w:val="left"/>
      <w:pPr>
        <w:ind w:left="4608" w:hanging="480"/>
      </w:pPr>
      <w:rPr>
        <w:rFonts w:hint="default"/>
        <w:lang w:val="en-US" w:eastAsia="en-US" w:bidi="ar-SA"/>
      </w:rPr>
    </w:lvl>
    <w:lvl w:ilvl="5" w:tplc="6C4AD500">
      <w:numFmt w:val="bullet"/>
      <w:lvlText w:val="•"/>
      <w:lvlJc w:val="left"/>
      <w:pPr>
        <w:ind w:left="5460" w:hanging="480"/>
      </w:pPr>
      <w:rPr>
        <w:rFonts w:hint="default"/>
        <w:lang w:val="en-US" w:eastAsia="en-US" w:bidi="ar-SA"/>
      </w:rPr>
    </w:lvl>
    <w:lvl w:ilvl="6" w:tplc="FF0C329E">
      <w:numFmt w:val="bullet"/>
      <w:lvlText w:val="•"/>
      <w:lvlJc w:val="left"/>
      <w:pPr>
        <w:ind w:left="6312" w:hanging="480"/>
      </w:pPr>
      <w:rPr>
        <w:rFonts w:hint="default"/>
        <w:lang w:val="en-US" w:eastAsia="en-US" w:bidi="ar-SA"/>
      </w:rPr>
    </w:lvl>
    <w:lvl w:ilvl="7" w:tplc="6928815C">
      <w:numFmt w:val="bullet"/>
      <w:lvlText w:val="•"/>
      <w:lvlJc w:val="left"/>
      <w:pPr>
        <w:ind w:left="7164" w:hanging="480"/>
      </w:pPr>
      <w:rPr>
        <w:rFonts w:hint="default"/>
        <w:lang w:val="en-US" w:eastAsia="en-US" w:bidi="ar-SA"/>
      </w:rPr>
    </w:lvl>
    <w:lvl w:ilvl="8" w:tplc="304E766C">
      <w:numFmt w:val="bullet"/>
      <w:lvlText w:val="•"/>
      <w:lvlJc w:val="left"/>
      <w:pPr>
        <w:ind w:left="8016" w:hanging="480"/>
      </w:pPr>
      <w:rPr>
        <w:rFonts w:hint="default"/>
        <w:lang w:val="en-US" w:eastAsia="en-US" w:bidi="ar-SA"/>
      </w:rPr>
    </w:lvl>
  </w:abstractNum>
  <w:abstractNum w:abstractNumId="19" w15:restartNumberingAfterBreak="0">
    <w:nsid w:val="67062CAE"/>
    <w:multiLevelType w:val="multilevel"/>
    <w:tmpl w:val="B7C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B39D6"/>
    <w:multiLevelType w:val="multilevel"/>
    <w:tmpl w:val="0B5AF190"/>
    <w:lvl w:ilvl="0">
      <w:start w:val="1"/>
      <w:numFmt w:val="decimal"/>
      <w:lvlText w:val="%1."/>
      <w:lvlJc w:val="left"/>
      <w:pPr>
        <w:ind w:left="270" w:hanging="270"/>
        <w:jc w:val="right"/>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361" w:hanging="361"/>
      </w:pPr>
      <w:rPr>
        <w:rFonts w:ascii="Times New Roman" w:eastAsia="Times New Roman" w:hAnsi="Times New Roman" w:cs="Times New Roman" w:hint="default"/>
        <w:b/>
        <w:bCs/>
        <w:i/>
        <w:iCs/>
        <w:spacing w:val="0"/>
        <w:w w:val="100"/>
        <w:sz w:val="24"/>
        <w:szCs w:val="24"/>
        <w:lang w:val="en-US" w:eastAsia="en-US" w:bidi="ar-SA"/>
      </w:rPr>
    </w:lvl>
    <w:lvl w:ilvl="2">
      <w:start w:val="1"/>
      <w:numFmt w:val="decimal"/>
      <w:lvlText w:val="%3."/>
      <w:lvlJc w:val="left"/>
      <w:pPr>
        <w:ind w:left="841" w:hanging="360"/>
      </w:pPr>
      <w:rPr>
        <w:rFonts w:hint="default"/>
        <w:spacing w:val="0"/>
        <w:w w:val="100"/>
        <w:lang w:val="en-US" w:eastAsia="en-US" w:bidi="ar-SA"/>
      </w:rPr>
    </w:lvl>
    <w:lvl w:ilvl="3">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108" w:hanging="360"/>
      </w:pPr>
      <w:rPr>
        <w:rFonts w:hint="default"/>
        <w:lang w:val="en-US" w:eastAsia="en-US" w:bidi="ar-SA"/>
      </w:rPr>
    </w:lvl>
    <w:lvl w:ilvl="5">
      <w:numFmt w:val="bullet"/>
      <w:lvlText w:val="•"/>
      <w:lvlJc w:val="left"/>
      <w:pPr>
        <w:ind w:left="3377" w:hanging="360"/>
      </w:pPr>
      <w:rPr>
        <w:rFonts w:hint="default"/>
        <w:lang w:val="en-US" w:eastAsia="en-US" w:bidi="ar-SA"/>
      </w:rPr>
    </w:lvl>
    <w:lvl w:ilvl="6">
      <w:numFmt w:val="bullet"/>
      <w:lvlText w:val="•"/>
      <w:lvlJc w:val="left"/>
      <w:pPr>
        <w:ind w:left="4645" w:hanging="360"/>
      </w:pPr>
      <w:rPr>
        <w:rFonts w:hint="default"/>
        <w:lang w:val="en-US" w:eastAsia="en-US" w:bidi="ar-SA"/>
      </w:rPr>
    </w:lvl>
    <w:lvl w:ilvl="7">
      <w:numFmt w:val="bullet"/>
      <w:lvlText w:val="•"/>
      <w:lvlJc w:val="left"/>
      <w:pPr>
        <w:ind w:left="5914" w:hanging="360"/>
      </w:pPr>
      <w:rPr>
        <w:rFonts w:hint="default"/>
        <w:lang w:val="en-US" w:eastAsia="en-US" w:bidi="ar-SA"/>
      </w:rPr>
    </w:lvl>
    <w:lvl w:ilvl="8">
      <w:numFmt w:val="bullet"/>
      <w:lvlText w:val="•"/>
      <w:lvlJc w:val="left"/>
      <w:pPr>
        <w:ind w:left="7182" w:hanging="360"/>
      </w:pPr>
      <w:rPr>
        <w:rFonts w:hint="default"/>
        <w:lang w:val="en-US" w:eastAsia="en-US" w:bidi="ar-SA"/>
      </w:rPr>
    </w:lvl>
  </w:abstractNum>
  <w:abstractNum w:abstractNumId="21" w15:restartNumberingAfterBreak="0">
    <w:nsid w:val="760916D2"/>
    <w:multiLevelType w:val="hybridMultilevel"/>
    <w:tmpl w:val="39C82054"/>
    <w:lvl w:ilvl="0" w:tplc="A4C6EF74">
      <w:start w:val="1"/>
      <w:numFmt w:val="decimal"/>
      <w:lvlText w:val="%1."/>
      <w:lvlJc w:val="left"/>
      <w:pPr>
        <w:ind w:left="7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B65C40">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2" w:tplc="563CB3DA">
      <w:numFmt w:val="bullet"/>
      <w:lvlText w:val="•"/>
      <w:lvlJc w:val="left"/>
      <w:pPr>
        <w:ind w:left="2520" w:hanging="360"/>
      </w:pPr>
      <w:rPr>
        <w:rFonts w:hint="default"/>
        <w:lang w:val="en-US" w:eastAsia="en-US" w:bidi="ar-SA"/>
      </w:rPr>
    </w:lvl>
    <w:lvl w:ilvl="3" w:tplc="2B62B4BE">
      <w:numFmt w:val="bullet"/>
      <w:lvlText w:val="•"/>
      <w:lvlJc w:val="left"/>
      <w:pPr>
        <w:ind w:left="3420" w:hanging="360"/>
      </w:pPr>
      <w:rPr>
        <w:rFonts w:hint="default"/>
        <w:lang w:val="en-US" w:eastAsia="en-US" w:bidi="ar-SA"/>
      </w:rPr>
    </w:lvl>
    <w:lvl w:ilvl="4" w:tplc="58F659D8">
      <w:numFmt w:val="bullet"/>
      <w:lvlText w:val="•"/>
      <w:lvlJc w:val="left"/>
      <w:pPr>
        <w:ind w:left="4320" w:hanging="360"/>
      </w:pPr>
      <w:rPr>
        <w:rFonts w:hint="default"/>
        <w:lang w:val="en-US" w:eastAsia="en-US" w:bidi="ar-SA"/>
      </w:rPr>
    </w:lvl>
    <w:lvl w:ilvl="5" w:tplc="0A60664E">
      <w:numFmt w:val="bullet"/>
      <w:lvlText w:val="•"/>
      <w:lvlJc w:val="left"/>
      <w:pPr>
        <w:ind w:left="5220" w:hanging="360"/>
      </w:pPr>
      <w:rPr>
        <w:rFonts w:hint="default"/>
        <w:lang w:val="en-US" w:eastAsia="en-US" w:bidi="ar-SA"/>
      </w:rPr>
    </w:lvl>
    <w:lvl w:ilvl="6" w:tplc="4F40BFA2">
      <w:numFmt w:val="bullet"/>
      <w:lvlText w:val="•"/>
      <w:lvlJc w:val="left"/>
      <w:pPr>
        <w:ind w:left="6120" w:hanging="360"/>
      </w:pPr>
      <w:rPr>
        <w:rFonts w:hint="default"/>
        <w:lang w:val="en-US" w:eastAsia="en-US" w:bidi="ar-SA"/>
      </w:rPr>
    </w:lvl>
    <w:lvl w:ilvl="7" w:tplc="2A58E1C8">
      <w:numFmt w:val="bullet"/>
      <w:lvlText w:val="•"/>
      <w:lvlJc w:val="left"/>
      <w:pPr>
        <w:ind w:left="7020" w:hanging="360"/>
      </w:pPr>
      <w:rPr>
        <w:rFonts w:hint="default"/>
        <w:lang w:val="en-US" w:eastAsia="en-US" w:bidi="ar-SA"/>
      </w:rPr>
    </w:lvl>
    <w:lvl w:ilvl="8" w:tplc="2FD2D6D0">
      <w:numFmt w:val="bullet"/>
      <w:lvlText w:val="•"/>
      <w:lvlJc w:val="left"/>
      <w:pPr>
        <w:ind w:left="7920" w:hanging="360"/>
      </w:pPr>
      <w:rPr>
        <w:rFonts w:hint="default"/>
        <w:lang w:val="en-US" w:eastAsia="en-US" w:bidi="ar-SA"/>
      </w:rPr>
    </w:lvl>
  </w:abstractNum>
  <w:num w:numId="1" w16cid:durableId="460929562">
    <w:abstractNumId w:val="1"/>
  </w:num>
  <w:num w:numId="2" w16cid:durableId="1864125460">
    <w:abstractNumId w:val="9"/>
  </w:num>
  <w:num w:numId="3" w16cid:durableId="1420105647">
    <w:abstractNumId w:val="6"/>
  </w:num>
  <w:num w:numId="4" w16cid:durableId="1749233486">
    <w:abstractNumId w:val="8"/>
  </w:num>
  <w:num w:numId="5" w16cid:durableId="1141458165">
    <w:abstractNumId w:val="17"/>
  </w:num>
  <w:num w:numId="6" w16cid:durableId="170880719">
    <w:abstractNumId w:val="13"/>
  </w:num>
  <w:num w:numId="7" w16cid:durableId="1616908595">
    <w:abstractNumId w:val="16"/>
  </w:num>
  <w:num w:numId="8" w16cid:durableId="758332275">
    <w:abstractNumId w:val="3"/>
  </w:num>
  <w:num w:numId="9" w16cid:durableId="258756986">
    <w:abstractNumId w:val="21"/>
  </w:num>
  <w:num w:numId="10" w16cid:durableId="818963670">
    <w:abstractNumId w:val="10"/>
  </w:num>
  <w:num w:numId="11" w16cid:durableId="282998444">
    <w:abstractNumId w:val="14"/>
  </w:num>
  <w:num w:numId="12" w16cid:durableId="1357122425">
    <w:abstractNumId w:val="4"/>
  </w:num>
  <w:num w:numId="13" w16cid:durableId="4325735">
    <w:abstractNumId w:val="20"/>
  </w:num>
  <w:num w:numId="14" w16cid:durableId="1618295339">
    <w:abstractNumId w:val="7"/>
  </w:num>
  <w:num w:numId="15" w16cid:durableId="1876890960">
    <w:abstractNumId w:val="18"/>
  </w:num>
  <w:num w:numId="16" w16cid:durableId="871187416">
    <w:abstractNumId w:val="15"/>
  </w:num>
  <w:num w:numId="17" w16cid:durableId="871309618">
    <w:abstractNumId w:val="2"/>
  </w:num>
  <w:num w:numId="18" w16cid:durableId="614092326">
    <w:abstractNumId w:val="12"/>
  </w:num>
  <w:num w:numId="19" w16cid:durableId="1550070045">
    <w:abstractNumId w:val="11"/>
  </w:num>
  <w:num w:numId="20" w16cid:durableId="1184587455">
    <w:abstractNumId w:val="19"/>
  </w:num>
  <w:num w:numId="21" w16cid:durableId="1891262423">
    <w:abstractNumId w:val="5"/>
  </w:num>
  <w:num w:numId="22" w16cid:durableId="1646470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357"/>
    <w:rsid w:val="00032635"/>
    <w:rsid w:val="000B2B3F"/>
    <w:rsid w:val="000D1A4B"/>
    <w:rsid w:val="00136CEC"/>
    <w:rsid w:val="001848BE"/>
    <w:rsid w:val="001B1DE1"/>
    <w:rsid w:val="00247F9C"/>
    <w:rsid w:val="002661F8"/>
    <w:rsid w:val="00267931"/>
    <w:rsid w:val="00296D58"/>
    <w:rsid w:val="003140D8"/>
    <w:rsid w:val="00331E15"/>
    <w:rsid w:val="00403D03"/>
    <w:rsid w:val="00412FF7"/>
    <w:rsid w:val="00572DBC"/>
    <w:rsid w:val="00581ACA"/>
    <w:rsid w:val="005B625A"/>
    <w:rsid w:val="006A328B"/>
    <w:rsid w:val="006E4256"/>
    <w:rsid w:val="00757D57"/>
    <w:rsid w:val="007A0763"/>
    <w:rsid w:val="007F7912"/>
    <w:rsid w:val="00801DA4"/>
    <w:rsid w:val="00853C68"/>
    <w:rsid w:val="008E4400"/>
    <w:rsid w:val="0098712F"/>
    <w:rsid w:val="009A372B"/>
    <w:rsid w:val="009D4772"/>
    <w:rsid w:val="009E44BC"/>
    <w:rsid w:val="00AC7CA1"/>
    <w:rsid w:val="00B84BE4"/>
    <w:rsid w:val="00B935C1"/>
    <w:rsid w:val="00BC5357"/>
    <w:rsid w:val="00C24724"/>
    <w:rsid w:val="00C270AC"/>
    <w:rsid w:val="00C40DDD"/>
    <w:rsid w:val="00C4284C"/>
    <w:rsid w:val="00CB4582"/>
    <w:rsid w:val="00D46619"/>
    <w:rsid w:val="00D812EE"/>
    <w:rsid w:val="00D83564"/>
    <w:rsid w:val="00DC76F5"/>
    <w:rsid w:val="00EA34AB"/>
    <w:rsid w:val="00EF6A62"/>
    <w:rsid w:val="00F460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0900C"/>
  <w15:docId w15:val="{CC08F449-5F47-4421-87D3-17811DC27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6"/>
      <w:ind w:right="359"/>
      <w:jc w:val="center"/>
      <w:outlineLvl w:val="0"/>
    </w:pPr>
    <w:rPr>
      <w:b/>
      <w:bCs/>
      <w:sz w:val="28"/>
      <w:szCs w:val="28"/>
    </w:rPr>
  </w:style>
  <w:style w:type="paragraph" w:styleId="Heading2">
    <w:name w:val="heading 2"/>
    <w:basedOn w:val="Normal"/>
    <w:uiPriority w:val="9"/>
    <w:unhideWhenUsed/>
    <w:qFormat/>
    <w:pPr>
      <w:ind w:left="720" w:hanging="360"/>
      <w:outlineLvl w:val="1"/>
    </w:pPr>
    <w:rPr>
      <w:b/>
      <w:bCs/>
      <w:sz w:val="26"/>
      <w:szCs w:val="26"/>
    </w:rPr>
  </w:style>
  <w:style w:type="paragraph" w:styleId="Heading3">
    <w:name w:val="heading 3"/>
    <w:basedOn w:val="Normal"/>
    <w:uiPriority w:val="9"/>
    <w:unhideWhenUsed/>
    <w:qFormat/>
    <w:pPr>
      <w:spacing w:before="1" w:line="275" w:lineRule="exact"/>
      <w:ind w:left="720" w:hanging="360"/>
      <w:outlineLvl w:val="2"/>
    </w:pPr>
    <w:rPr>
      <w:b/>
      <w:bCs/>
      <w:sz w:val="24"/>
      <w:szCs w:val="24"/>
    </w:rPr>
  </w:style>
  <w:style w:type="paragraph" w:styleId="Heading4">
    <w:name w:val="heading 4"/>
    <w:basedOn w:val="Normal"/>
    <w:uiPriority w:val="9"/>
    <w:unhideWhenUsed/>
    <w:qFormat/>
    <w:pPr>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53"/>
      <w:ind w:left="480"/>
    </w:pPr>
    <w:rPr>
      <w:rFonts w:ascii="Trebuchet MS" w:eastAsia="Trebuchet MS" w:hAnsi="Trebuchet MS" w:cs="Trebuchet MS"/>
      <w:sz w:val="20"/>
      <w:szCs w:val="20"/>
    </w:rPr>
  </w:style>
  <w:style w:type="paragraph" w:styleId="TOC2">
    <w:name w:val="toc 2"/>
    <w:basedOn w:val="Normal"/>
    <w:uiPriority w:val="1"/>
    <w:qFormat/>
    <w:pPr>
      <w:spacing w:before="53"/>
      <w:ind w:left="1200" w:hanging="479"/>
    </w:pPr>
    <w:rPr>
      <w:rFonts w:ascii="Trebuchet MS" w:eastAsia="Trebuchet MS" w:hAnsi="Trebuchet MS" w:cs="Trebuchet MS"/>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ind w:right="366"/>
      <w:jc w:val="center"/>
    </w:pPr>
    <w:rPr>
      <w:b/>
      <w:bCs/>
      <w:sz w:val="32"/>
      <w:szCs w:val="3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1"/>
      <w:ind w:left="110"/>
    </w:pPr>
  </w:style>
  <w:style w:type="paragraph" w:styleId="Header">
    <w:name w:val="header"/>
    <w:basedOn w:val="Normal"/>
    <w:link w:val="HeaderChar"/>
    <w:uiPriority w:val="99"/>
    <w:unhideWhenUsed/>
    <w:rsid w:val="00DC76F5"/>
    <w:pPr>
      <w:tabs>
        <w:tab w:val="center" w:pos="4513"/>
        <w:tab w:val="right" w:pos="9026"/>
      </w:tabs>
    </w:pPr>
  </w:style>
  <w:style w:type="character" w:customStyle="1" w:styleId="HeaderChar">
    <w:name w:val="Header Char"/>
    <w:basedOn w:val="DefaultParagraphFont"/>
    <w:link w:val="Header"/>
    <w:uiPriority w:val="99"/>
    <w:rsid w:val="00DC76F5"/>
    <w:rPr>
      <w:rFonts w:ascii="Times New Roman" w:eastAsia="Times New Roman" w:hAnsi="Times New Roman" w:cs="Times New Roman"/>
    </w:rPr>
  </w:style>
  <w:style w:type="paragraph" w:styleId="Footer">
    <w:name w:val="footer"/>
    <w:basedOn w:val="Normal"/>
    <w:link w:val="FooterChar"/>
    <w:uiPriority w:val="99"/>
    <w:unhideWhenUsed/>
    <w:rsid w:val="00DC76F5"/>
    <w:pPr>
      <w:tabs>
        <w:tab w:val="center" w:pos="4513"/>
        <w:tab w:val="right" w:pos="9026"/>
      </w:tabs>
    </w:pPr>
  </w:style>
  <w:style w:type="character" w:customStyle="1" w:styleId="FooterChar">
    <w:name w:val="Footer Char"/>
    <w:basedOn w:val="DefaultParagraphFont"/>
    <w:link w:val="Footer"/>
    <w:uiPriority w:val="99"/>
    <w:rsid w:val="00DC76F5"/>
    <w:rPr>
      <w:rFonts w:ascii="Times New Roman" w:eastAsia="Times New Roman" w:hAnsi="Times New Roman" w:cs="Times New Roman"/>
    </w:rPr>
  </w:style>
  <w:style w:type="paragraph" w:styleId="TOCHeading">
    <w:name w:val="TOC Heading"/>
    <w:basedOn w:val="Heading1"/>
    <w:next w:val="Normal"/>
    <w:uiPriority w:val="39"/>
    <w:unhideWhenUsed/>
    <w:qFormat/>
    <w:rsid w:val="009E44BC"/>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9E44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11</Pages>
  <Words>2647</Words>
  <Characters>15091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Nitin N</dc:creator>
  <cp:lastModifiedBy>Nitin N</cp:lastModifiedBy>
  <cp:revision>40</cp:revision>
  <dcterms:created xsi:type="dcterms:W3CDTF">2025-11-01T03:35:00Z</dcterms:created>
  <dcterms:modified xsi:type="dcterms:W3CDTF">2025-11-01T17:33:00Z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2024-12-07T00:00:00Z</vt:filetime>
  </property>
  <property fmtid="{D5CDD505-2E9C-101B-9397-08002B2CF9AE}" pid="3" name="Creator">
    <vt:lpwstr>Microsoft Word</vt:lpwstr>
  </property>
  <property fmtid="{D5CDD505-2E9C-101B-9397-08002B2CF9AE}" pid="4" name="LastSaved">
    <vt:filetime>2025-04-17T00:00:00Z</vt:filetime>
  </property>
</Properties>
</file>