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FAB4E" w14:textId="6C334A91" w:rsidR="001632CC" w:rsidRPr="001632CC" w:rsidRDefault="001632CC" w:rsidP="000E3434">
      <w:pPr>
        <w:rPr>
          <w:rFonts w:ascii="Times New Roman" w:hAnsi="Times New Roman" w:cs="Times New Roman"/>
          <w:b/>
          <w:bCs/>
          <w:sz w:val="28"/>
          <w:szCs w:val="28"/>
        </w:rPr>
      </w:pPr>
      <w:r w:rsidRPr="001632CC">
        <w:rPr>
          <w:rFonts w:ascii="Times New Roman" w:hAnsi="Times New Roman" w:cs="Times New Roman"/>
          <w:b/>
          <w:bCs/>
          <w:sz w:val="28"/>
          <w:szCs w:val="28"/>
        </w:rPr>
        <w:t>Project Summary</w:t>
      </w:r>
    </w:p>
    <w:p w14:paraId="3AFC00BF" w14:textId="6E5569FB" w:rsidR="000E3434" w:rsidRPr="000E3434" w:rsidRDefault="000E3434" w:rsidP="000E3434">
      <w:pPr>
        <w:rPr>
          <w:rFonts w:ascii="Times New Roman" w:hAnsi="Times New Roman" w:cs="Times New Roman"/>
          <w:b/>
          <w:bCs/>
          <w:sz w:val="22"/>
          <w:szCs w:val="22"/>
        </w:rPr>
      </w:pPr>
      <w:r w:rsidRPr="000E3434">
        <w:rPr>
          <w:rFonts w:ascii="Times New Roman" w:hAnsi="Times New Roman" w:cs="Times New Roman"/>
          <w:b/>
          <w:bCs/>
          <w:sz w:val="22"/>
          <w:szCs w:val="22"/>
        </w:rPr>
        <w:t>1. M&amp;A Transaction Analysis: LVMH Acquisition of Tiffany &amp; Co.</w:t>
      </w:r>
    </w:p>
    <w:p w14:paraId="70B56272" w14:textId="77777777" w:rsidR="000E3434" w:rsidRPr="000E3434" w:rsidRDefault="000E3434" w:rsidP="000E3434">
      <w:pPr>
        <w:rPr>
          <w:rFonts w:ascii="Times New Roman" w:hAnsi="Times New Roman" w:cs="Times New Roman"/>
          <w:sz w:val="22"/>
          <w:szCs w:val="22"/>
        </w:rPr>
      </w:pPr>
      <w:r w:rsidRPr="000E3434">
        <w:rPr>
          <w:rFonts w:ascii="Times New Roman" w:hAnsi="Times New Roman" w:cs="Times New Roman"/>
          <w:sz w:val="22"/>
          <w:szCs w:val="22"/>
        </w:rPr>
        <w:t>Built integrated three-statement model for the $15.8B LVMH/Tiffany merger with 5-year P&amp;L, balance sheet, and cash flow projections. Conducted DCF and comparable company analysis (EV/EBITDA, EV/EBIT, P/E) to establish intrinsic stand-alone value of $106.95/share, a 17% premium over market price. Identified $100-150M in annual cost synergies from procurement and margin improvements. Performed accretion/dilution analysis and recommended a negotiation range of $135-140/share, benchmarked against LVMH's prior Bulgari acquisition at 29x EBIT. Delivered executive presentation with strategic rationale and final investment recommendation.</w:t>
      </w:r>
    </w:p>
    <w:p w14:paraId="798E9F0E" w14:textId="77777777" w:rsidR="000E3434" w:rsidRPr="000E3434" w:rsidRDefault="000E3434" w:rsidP="000E3434">
      <w:pPr>
        <w:rPr>
          <w:rFonts w:ascii="Times New Roman" w:hAnsi="Times New Roman" w:cs="Times New Roman"/>
          <w:sz w:val="22"/>
          <w:szCs w:val="22"/>
        </w:rPr>
      </w:pPr>
      <w:r w:rsidRPr="000E3434">
        <w:rPr>
          <w:rFonts w:ascii="Times New Roman" w:hAnsi="Times New Roman" w:cs="Times New Roman"/>
          <w:b/>
          <w:bCs/>
          <w:sz w:val="22"/>
          <w:szCs w:val="22"/>
        </w:rPr>
        <w:t>Skills Applied:</w:t>
      </w:r>
      <w:r w:rsidRPr="000E3434">
        <w:rPr>
          <w:rFonts w:ascii="Times New Roman" w:hAnsi="Times New Roman" w:cs="Times New Roman"/>
          <w:sz w:val="22"/>
          <w:szCs w:val="22"/>
        </w:rPr>
        <w:t xml:space="preserve"> Three-Statement Modeling, DCF, Comparable Company Analysis, Accretion/Dilution Analysis, Sensitivity Analysis, Synergy Modeling, M&amp;A Analysis</w:t>
      </w:r>
    </w:p>
    <w:p w14:paraId="6F78CECC" w14:textId="1908A5D9" w:rsidR="000E3434" w:rsidRPr="000E3434" w:rsidRDefault="000E3434" w:rsidP="000E3434">
      <w:pPr>
        <w:rPr>
          <w:rFonts w:ascii="Times New Roman" w:hAnsi="Times New Roman" w:cs="Times New Roman"/>
          <w:sz w:val="22"/>
          <w:szCs w:val="22"/>
        </w:rPr>
      </w:pPr>
    </w:p>
    <w:p w14:paraId="08A26BE9" w14:textId="77777777" w:rsidR="000E3434" w:rsidRPr="000E3434" w:rsidRDefault="000E3434" w:rsidP="000E3434">
      <w:pPr>
        <w:rPr>
          <w:rFonts w:ascii="Times New Roman" w:hAnsi="Times New Roman" w:cs="Times New Roman"/>
          <w:b/>
          <w:bCs/>
          <w:sz w:val="22"/>
          <w:szCs w:val="22"/>
        </w:rPr>
      </w:pPr>
      <w:r w:rsidRPr="000E3434">
        <w:rPr>
          <w:rFonts w:ascii="Times New Roman" w:hAnsi="Times New Roman" w:cs="Times New Roman"/>
          <w:b/>
          <w:bCs/>
          <w:sz w:val="22"/>
          <w:szCs w:val="22"/>
        </w:rPr>
        <w:t>2. Valuation Consulting: Microsoft Corporation</w:t>
      </w:r>
    </w:p>
    <w:p w14:paraId="5A12909A" w14:textId="77777777" w:rsidR="000E3434" w:rsidRPr="000E3434" w:rsidRDefault="000E3434" w:rsidP="000E3434">
      <w:pPr>
        <w:rPr>
          <w:rFonts w:ascii="Times New Roman" w:hAnsi="Times New Roman" w:cs="Times New Roman"/>
          <w:sz w:val="22"/>
          <w:szCs w:val="22"/>
        </w:rPr>
      </w:pPr>
      <w:r w:rsidRPr="000E3434">
        <w:rPr>
          <w:rFonts w:ascii="Times New Roman" w:hAnsi="Times New Roman" w:cs="Times New Roman"/>
          <w:sz w:val="22"/>
          <w:szCs w:val="22"/>
        </w:rPr>
        <w:t xml:space="preserve">Executed a full-scope corporate valuation and strategy project, constructing a detailed Discounted Cash Flow (DCF) model and calculating WACC to determine intrinsic asset value. Performed fundamental analysis and peer ratio benchmarking to identify inefficiencies and evaluate historical performance trends. Modeled the impact of shifts in </w:t>
      </w:r>
      <w:proofErr w:type="spellStart"/>
      <w:r w:rsidRPr="000E3434">
        <w:rPr>
          <w:rFonts w:ascii="Times New Roman" w:hAnsi="Times New Roman" w:cs="Times New Roman"/>
          <w:sz w:val="22"/>
          <w:szCs w:val="22"/>
        </w:rPr>
        <w:t>CapEx</w:t>
      </w:r>
      <w:proofErr w:type="spellEnd"/>
      <w:r w:rsidRPr="000E3434">
        <w:rPr>
          <w:rFonts w:ascii="Times New Roman" w:hAnsi="Times New Roman" w:cs="Times New Roman"/>
          <w:sz w:val="22"/>
          <w:szCs w:val="22"/>
        </w:rPr>
        <w:t>, capital structure, and operating policies on shareholder wealth, simulating strategies used to drive long-term yield and shareholder value.</w:t>
      </w:r>
    </w:p>
    <w:p w14:paraId="15423E50" w14:textId="77777777" w:rsidR="000E3434" w:rsidRPr="000E3434" w:rsidRDefault="000E3434" w:rsidP="000E3434">
      <w:pPr>
        <w:rPr>
          <w:rFonts w:ascii="Times New Roman" w:hAnsi="Times New Roman" w:cs="Times New Roman"/>
          <w:sz w:val="22"/>
          <w:szCs w:val="22"/>
        </w:rPr>
      </w:pPr>
      <w:r w:rsidRPr="000E3434">
        <w:rPr>
          <w:rFonts w:ascii="Times New Roman" w:hAnsi="Times New Roman" w:cs="Times New Roman"/>
          <w:b/>
          <w:bCs/>
          <w:sz w:val="22"/>
          <w:szCs w:val="22"/>
        </w:rPr>
        <w:t>Skills Applied:</w:t>
      </w:r>
      <w:r w:rsidRPr="000E3434">
        <w:rPr>
          <w:rFonts w:ascii="Times New Roman" w:hAnsi="Times New Roman" w:cs="Times New Roman"/>
          <w:sz w:val="22"/>
          <w:szCs w:val="22"/>
        </w:rPr>
        <w:t xml:space="preserve"> DCF, WACC, Peer Benchmarking, Fundamental Analysis, Capital Structure Analysis, Scenario Modeling</w:t>
      </w:r>
    </w:p>
    <w:p w14:paraId="295D38CA" w14:textId="491A8261" w:rsidR="000E3434" w:rsidRPr="000E3434" w:rsidRDefault="000E3434" w:rsidP="000E3434">
      <w:pPr>
        <w:rPr>
          <w:rFonts w:ascii="Times New Roman" w:hAnsi="Times New Roman" w:cs="Times New Roman"/>
          <w:sz w:val="22"/>
          <w:szCs w:val="22"/>
        </w:rPr>
      </w:pPr>
    </w:p>
    <w:p w14:paraId="785859EC" w14:textId="77777777" w:rsidR="000E3434" w:rsidRPr="000E3434" w:rsidRDefault="000E3434" w:rsidP="000E3434">
      <w:pPr>
        <w:rPr>
          <w:rFonts w:ascii="Times New Roman" w:hAnsi="Times New Roman" w:cs="Times New Roman"/>
          <w:b/>
          <w:bCs/>
          <w:sz w:val="22"/>
          <w:szCs w:val="22"/>
        </w:rPr>
      </w:pPr>
      <w:r w:rsidRPr="000E3434">
        <w:rPr>
          <w:rFonts w:ascii="Times New Roman" w:hAnsi="Times New Roman" w:cs="Times New Roman"/>
          <w:b/>
          <w:bCs/>
          <w:sz w:val="22"/>
          <w:szCs w:val="22"/>
        </w:rPr>
        <w:t>3. Portfolio Management Competition</w:t>
      </w:r>
    </w:p>
    <w:p w14:paraId="707EA9F1" w14:textId="77777777" w:rsidR="000E3434" w:rsidRPr="000E3434" w:rsidRDefault="000E3434" w:rsidP="000E3434">
      <w:pPr>
        <w:rPr>
          <w:rFonts w:ascii="Times New Roman" w:hAnsi="Times New Roman" w:cs="Times New Roman"/>
          <w:sz w:val="22"/>
          <w:szCs w:val="22"/>
        </w:rPr>
      </w:pPr>
      <w:r w:rsidRPr="000E3434">
        <w:rPr>
          <w:rFonts w:ascii="Times New Roman" w:hAnsi="Times New Roman" w:cs="Times New Roman"/>
          <w:sz w:val="22"/>
          <w:szCs w:val="22"/>
        </w:rPr>
        <w:t>Developed and managed an investment portfolio strategically benchmarked against the Nasdaq-100 (QQQ). Achieved the lowest tracking error in the cohort with an annualized return of 6.5% and annualized volatility of 10.92%, successfully maintaining a lower risk profile than the QQQ Index. Performed continuous portfolio attribution and variance analysis to assess performance drivers and inform rebalancing decisions.</w:t>
      </w:r>
    </w:p>
    <w:p w14:paraId="464A8274" w14:textId="77777777" w:rsidR="000E3434" w:rsidRPr="000E3434" w:rsidRDefault="000E3434" w:rsidP="000E3434">
      <w:pPr>
        <w:rPr>
          <w:rFonts w:ascii="Times New Roman" w:hAnsi="Times New Roman" w:cs="Times New Roman"/>
          <w:sz w:val="22"/>
          <w:szCs w:val="22"/>
        </w:rPr>
      </w:pPr>
      <w:r w:rsidRPr="000E3434">
        <w:rPr>
          <w:rFonts w:ascii="Times New Roman" w:hAnsi="Times New Roman" w:cs="Times New Roman"/>
          <w:b/>
          <w:bCs/>
          <w:sz w:val="22"/>
          <w:szCs w:val="22"/>
        </w:rPr>
        <w:t>Skills Applied:</w:t>
      </w:r>
      <w:r w:rsidRPr="000E3434">
        <w:rPr>
          <w:rFonts w:ascii="Times New Roman" w:hAnsi="Times New Roman" w:cs="Times New Roman"/>
          <w:sz w:val="22"/>
          <w:szCs w:val="22"/>
        </w:rPr>
        <w:t xml:space="preserve"> Portfolio Construction, Performance Attribution, Variance Analysis, Risk Assessment, Benchmarking</w:t>
      </w:r>
    </w:p>
    <w:p w14:paraId="337B7861" w14:textId="47E2210B" w:rsidR="000E3434" w:rsidRPr="000E3434" w:rsidRDefault="000E3434" w:rsidP="000E3434">
      <w:pPr>
        <w:rPr>
          <w:rFonts w:ascii="Times New Roman" w:hAnsi="Times New Roman" w:cs="Times New Roman"/>
          <w:sz w:val="22"/>
          <w:szCs w:val="22"/>
        </w:rPr>
      </w:pPr>
    </w:p>
    <w:p w14:paraId="22C5EBB8" w14:textId="77777777" w:rsidR="000E3434" w:rsidRPr="000E3434" w:rsidRDefault="000E3434" w:rsidP="000E3434">
      <w:pPr>
        <w:rPr>
          <w:rFonts w:ascii="Times New Roman" w:hAnsi="Times New Roman" w:cs="Times New Roman"/>
          <w:b/>
          <w:bCs/>
          <w:sz w:val="22"/>
          <w:szCs w:val="22"/>
        </w:rPr>
      </w:pPr>
      <w:r w:rsidRPr="000E3434">
        <w:rPr>
          <w:rFonts w:ascii="Times New Roman" w:hAnsi="Times New Roman" w:cs="Times New Roman"/>
          <w:b/>
          <w:bCs/>
          <w:sz w:val="22"/>
          <w:szCs w:val="22"/>
        </w:rPr>
        <w:t>4. Quantitative Trading Strategy</w:t>
      </w:r>
    </w:p>
    <w:p w14:paraId="1DF0BA74" w14:textId="77777777" w:rsidR="000E3434" w:rsidRPr="000E3434" w:rsidRDefault="000E3434" w:rsidP="000E3434">
      <w:pPr>
        <w:rPr>
          <w:rFonts w:ascii="Times New Roman" w:hAnsi="Times New Roman" w:cs="Times New Roman"/>
          <w:sz w:val="22"/>
          <w:szCs w:val="22"/>
        </w:rPr>
      </w:pPr>
      <w:r w:rsidRPr="000E3434">
        <w:rPr>
          <w:rFonts w:ascii="Times New Roman" w:hAnsi="Times New Roman" w:cs="Times New Roman"/>
          <w:sz w:val="22"/>
          <w:szCs w:val="22"/>
        </w:rPr>
        <w:t>Developed a momentum-based sector rotation strategy using the Fama-French 49 Industry dataset, achieving a 21.47% annualized return and 0.67 Sharpe Ratio, significantly outperforming benchmark. Automated the full performance analysis and visualization pipeline using Python (Pandas, NumPy, Matplotlib) through rigorous back-testing across multiple market cycles.</w:t>
      </w:r>
    </w:p>
    <w:p w14:paraId="372DA7FE" w14:textId="77777777" w:rsidR="000E3434" w:rsidRPr="000E3434" w:rsidRDefault="000E3434" w:rsidP="000E3434">
      <w:pPr>
        <w:rPr>
          <w:rFonts w:ascii="Times New Roman" w:hAnsi="Times New Roman" w:cs="Times New Roman"/>
          <w:sz w:val="22"/>
          <w:szCs w:val="22"/>
        </w:rPr>
      </w:pPr>
      <w:r w:rsidRPr="000E3434">
        <w:rPr>
          <w:rFonts w:ascii="Times New Roman" w:hAnsi="Times New Roman" w:cs="Times New Roman"/>
          <w:b/>
          <w:bCs/>
          <w:sz w:val="22"/>
          <w:szCs w:val="22"/>
        </w:rPr>
        <w:lastRenderedPageBreak/>
        <w:t>Skills Applied:</w:t>
      </w:r>
      <w:r w:rsidRPr="000E3434">
        <w:rPr>
          <w:rFonts w:ascii="Times New Roman" w:hAnsi="Times New Roman" w:cs="Times New Roman"/>
          <w:sz w:val="22"/>
          <w:szCs w:val="22"/>
        </w:rPr>
        <w:t xml:space="preserve"> Python, Quantitative Analysis, </w:t>
      </w:r>
      <w:proofErr w:type="spellStart"/>
      <w:r w:rsidRPr="000E3434">
        <w:rPr>
          <w:rFonts w:ascii="Times New Roman" w:hAnsi="Times New Roman" w:cs="Times New Roman"/>
          <w:sz w:val="22"/>
          <w:szCs w:val="22"/>
        </w:rPr>
        <w:t>Backtesting</w:t>
      </w:r>
      <w:proofErr w:type="spellEnd"/>
      <w:r w:rsidRPr="000E3434">
        <w:rPr>
          <w:rFonts w:ascii="Times New Roman" w:hAnsi="Times New Roman" w:cs="Times New Roman"/>
          <w:sz w:val="22"/>
          <w:szCs w:val="22"/>
        </w:rPr>
        <w:t>, Momentum Strategies, Data Visualization</w:t>
      </w:r>
    </w:p>
    <w:p w14:paraId="10EE2A61" w14:textId="610912E6" w:rsidR="003C7ED9" w:rsidRPr="003C7ED9" w:rsidRDefault="003C7ED9" w:rsidP="003C7ED9">
      <w:pPr>
        <w:rPr>
          <w:rFonts w:ascii="Times New Roman" w:hAnsi="Times New Roman" w:cs="Times New Roman"/>
          <w:sz w:val="22"/>
          <w:szCs w:val="22"/>
        </w:rPr>
      </w:pPr>
    </w:p>
    <w:sectPr w:rsidR="003C7ED9" w:rsidRPr="003C7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ED9"/>
    <w:rsid w:val="000E3434"/>
    <w:rsid w:val="001632CC"/>
    <w:rsid w:val="00331086"/>
    <w:rsid w:val="003755C5"/>
    <w:rsid w:val="003C7ED9"/>
    <w:rsid w:val="00D2673B"/>
    <w:rsid w:val="00DB3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0CA7C"/>
  <w15:chartTrackingRefBased/>
  <w15:docId w15:val="{9E9AA22E-B4A7-4C84-8722-F7B97A6FC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E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E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E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E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E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E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ED9"/>
    <w:rPr>
      <w:rFonts w:eastAsiaTheme="majorEastAsia" w:cstheme="majorBidi"/>
      <w:color w:val="272727" w:themeColor="text1" w:themeTint="D8"/>
    </w:rPr>
  </w:style>
  <w:style w:type="paragraph" w:styleId="Title">
    <w:name w:val="Title"/>
    <w:basedOn w:val="Normal"/>
    <w:next w:val="Normal"/>
    <w:link w:val="TitleChar"/>
    <w:uiPriority w:val="10"/>
    <w:qFormat/>
    <w:rsid w:val="003C7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ED9"/>
    <w:pPr>
      <w:spacing w:before="160"/>
      <w:jc w:val="center"/>
    </w:pPr>
    <w:rPr>
      <w:i/>
      <w:iCs/>
      <w:color w:val="404040" w:themeColor="text1" w:themeTint="BF"/>
    </w:rPr>
  </w:style>
  <w:style w:type="character" w:customStyle="1" w:styleId="QuoteChar">
    <w:name w:val="Quote Char"/>
    <w:basedOn w:val="DefaultParagraphFont"/>
    <w:link w:val="Quote"/>
    <w:uiPriority w:val="29"/>
    <w:rsid w:val="003C7ED9"/>
    <w:rPr>
      <w:i/>
      <w:iCs/>
      <w:color w:val="404040" w:themeColor="text1" w:themeTint="BF"/>
    </w:rPr>
  </w:style>
  <w:style w:type="paragraph" w:styleId="ListParagraph">
    <w:name w:val="List Paragraph"/>
    <w:basedOn w:val="Normal"/>
    <w:uiPriority w:val="34"/>
    <w:qFormat/>
    <w:rsid w:val="003C7ED9"/>
    <w:pPr>
      <w:ind w:left="720"/>
      <w:contextualSpacing/>
    </w:pPr>
  </w:style>
  <w:style w:type="character" w:styleId="IntenseEmphasis">
    <w:name w:val="Intense Emphasis"/>
    <w:basedOn w:val="DefaultParagraphFont"/>
    <w:uiPriority w:val="21"/>
    <w:qFormat/>
    <w:rsid w:val="003C7ED9"/>
    <w:rPr>
      <w:i/>
      <w:iCs/>
      <w:color w:val="0F4761" w:themeColor="accent1" w:themeShade="BF"/>
    </w:rPr>
  </w:style>
  <w:style w:type="paragraph" w:styleId="IntenseQuote">
    <w:name w:val="Intense Quote"/>
    <w:basedOn w:val="Normal"/>
    <w:next w:val="Normal"/>
    <w:link w:val="IntenseQuoteChar"/>
    <w:uiPriority w:val="30"/>
    <w:qFormat/>
    <w:rsid w:val="003C7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ED9"/>
    <w:rPr>
      <w:i/>
      <w:iCs/>
      <w:color w:val="0F4761" w:themeColor="accent1" w:themeShade="BF"/>
    </w:rPr>
  </w:style>
  <w:style w:type="character" w:styleId="IntenseReference">
    <w:name w:val="Intense Reference"/>
    <w:basedOn w:val="DefaultParagraphFont"/>
    <w:uiPriority w:val="32"/>
    <w:qFormat/>
    <w:rsid w:val="003C7E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386</Words>
  <Characters>2205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jhaveri</dc:creator>
  <cp:keywords/>
  <dc:description/>
  <cp:lastModifiedBy>Rishav jhaveri</cp:lastModifiedBy>
  <cp:revision>2</cp:revision>
  <cp:lastPrinted>2026-02-26T00:58:00Z</cp:lastPrinted>
  <dcterms:created xsi:type="dcterms:W3CDTF">2026-02-26T00:41:00Z</dcterms:created>
  <dcterms:modified xsi:type="dcterms:W3CDTF">2026-02-26T01:21:00Z</dcterms:modified>
</cp:coreProperties>
</file>