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MARUTI SUZUKI</w:t>
      </w:r>
    </w:p>
    <w:p>
      <w:pPr>
        <w:pStyle w:val="Heading2"/>
        <w:spacing w:after="300"/>
        <w:jc w:val="center"/>
      </w:pPr>
      <w:r>
        <w:t xml:space="preserve">Warranty &amp; Extended Care Policy Document</w:t>
      </w:r>
    </w:p>
    <w:p>
      <w:pPr>
        <w:spacing w:after="120"/>
      </w:pPr>
      <w:r>
        <w:rPr>
          <w:i/>
          <w:iCs/>
        </w:rPr>
        <w:t xml:space="preserve">Issued by: Jaipur City Motors Authorized Dealership | Applicable to all new vehicles sold on or after January 2025</w:t>
      </w:r>
    </w:p>
    <w:p>
      <w:pPr>
        <w:pStyle w:val="Heading1"/>
        <w:spacing w:after="120" w:before="240"/>
      </w:pPr>
      <w:r>
        <w:t xml:space="preserve">1. Overview</w:t>
      </w:r>
    </w:p>
    <w:p>
      <w:pPr>
        <w:spacing w:after="120"/>
      </w:pPr>
      <w:r>
        <w:t xml:space="preserve">This document outlines the warranty terms, extended warranty options, and Roadside Assistance (RSA) policy applicable to Maruti Suzuki passenger vehicles sold and serviced through Jaipur City Motors. All warranty claims must be processed through an authorized Maruti Suzuki service centre with valid service history and original invoice.</w:t>
      </w:r>
    </w:p>
    <w:p>
      <w:pPr>
        <w:pStyle w:val="Heading1"/>
        <w:spacing w:after="120" w:before="240"/>
      </w:pPr>
      <w:r>
        <w:t xml:space="preserve">2. Warranty Coverage Table</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200"/>
            <w:shd w:fill="1F4E78" w:val="clear"/>
          </w:tcPr>
          <w:p>
            <w:r>
              <w:rPr>
                <w:b/>
                <w:bCs/>
                <w:color w:val="FFFFFF"/>
              </w:rPr>
              <w:t xml:space="preserve">Warranty Type</w:t>
            </w:r>
          </w:p>
        </w:tc>
        <w:tc>
          <w:tcPr>
            <w:tcW w:type="dxa" w:w="2600"/>
            <w:shd w:fill="1F4E78" w:val="clear"/>
          </w:tcPr>
          <w:p>
            <w:r>
              <w:rPr>
                <w:b/>
                <w:bCs/>
                <w:color w:val="FFFFFF"/>
              </w:rPr>
              <w:t xml:space="preserve">Coverage</w:t>
            </w:r>
          </w:p>
        </w:tc>
        <w:tc>
          <w:tcPr>
            <w:tcW w:type="dxa" w:w="2800"/>
            <w:shd w:fill="1F4E78" w:val="clear"/>
          </w:tcPr>
          <w:p>
            <w:r>
              <w:rPr>
                <w:b/>
                <w:bCs/>
                <w:color w:val="FFFFFF"/>
              </w:rPr>
              <w:t xml:space="preserve">Duration</w:t>
            </w:r>
          </w:p>
        </w:tc>
      </w:tr>
      <w:tr>
        <w:tc>
          <w:tcPr>
            <w:tcW w:type="dxa" w:w="3200"/>
          </w:tcPr>
          <w:p>
            <w:r>
              <w:rPr>
                <w:b w:val="false"/>
                <w:bCs w:val="false"/>
                <w:color w:val="000000"/>
              </w:rPr>
              <w:t xml:space="preserve">Standard Warranty</w:t>
            </w:r>
          </w:p>
        </w:tc>
        <w:tc>
          <w:tcPr>
            <w:tcW w:type="dxa" w:w="2600"/>
          </w:tcPr>
          <w:p>
            <w:r>
              <w:rPr>
                <w:b w:val="false"/>
                <w:bCs w:val="false"/>
                <w:color w:val="000000"/>
              </w:rPr>
              <w:t xml:space="preserve">Manufacturing defects, engine, transmission</w:t>
            </w:r>
          </w:p>
        </w:tc>
        <w:tc>
          <w:tcPr>
            <w:tcW w:type="dxa" w:w="2800"/>
          </w:tcPr>
          <w:p>
            <w:r>
              <w:rPr>
                <w:b w:val="false"/>
                <w:bCs w:val="false"/>
                <w:color w:val="000000"/>
              </w:rPr>
              <w:t xml:space="preserve">2 years / 40,000 km</w:t>
            </w:r>
          </w:p>
        </w:tc>
      </w:tr>
      <w:tr>
        <w:tc>
          <w:tcPr>
            <w:tcW w:type="dxa" w:w="3200"/>
          </w:tcPr>
          <w:p>
            <w:r>
              <w:rPr>
                <w:b w:val="false"/>
                <w:bCs w:val="false"/>
                <w:color w:val="000000"/>
              </w:rPr>
              <w:t xml:space="preserve">Extended Warranty (SEW)</w:t>
            </w:r>
          </w:p>
        </w:tc>
        <w:tc>
          <w:tcPr>
            <w:tcW w:type="dxa" w:w="2600"/>
          </w:tcPr>
          <w:p>
            <w:r>
              <w:rPr>
                <w:b w:val="false"/>
                <w:bCs w:val="false"/>
                <w:color w:val="000000"/>
              </w:rPr>
              <w:t xml:space="preserve">Same as standard, extended tenure</w:t>
            </w:r>
          </w:p>
        </w:tc>
        <w:tc>
          <w:tcPr>
            <w:tcW w:type="dxa" w:w="2800"/>
          </w:tcPr>
          <w:p>
            <w:r>
              <w:rPr>
                <w:b w:val="false"/>
                <w:bCs w:val="false"/>
                <w:color w:val="000000"/>
              </w:rPr>
              <w:t xml:space="preserve">Up to 5 years / 1,00,000 km</w:t>
            </w:r>
          </w:p>
        </w:tc>
      </w:tr>
      <w:tr>
        <w:tc>
          <w:tcPr>
            <w:tcW w:type="dxa" w:w="3200"/>
          </w:tcPr>
          <w:p>
            <w:r>
              <w:rPr>
                <w:b w:val="false"/>
                <w:bCs w:val="false"/>
                <w:color w:val="000000"/>
              </w:rPr>
              <w:t xml:space="preserve">Battery Warranty (Hybrid - Invicto)</w:t>
            </w:r>
          </w:p>
        </w:tc>
        <w:tc>
          <w:tcPr>
            <w:tcW w:type="dxa" w:w="2600"/>
          </w:tcPr>
          <w:p>
            <w:r>
              <w:rPr>
                <w:b w:val="false"/>
                <w:bCs w:val="false"/>
                <w:color w:val="000000"/>
              </w:rPr>
              <w:t xml:space="preserve">Hybrid battery pack</w:t>
            </w:r>
          </w:p>
        </w:tc>
        <w:tc>
          <w:tcPr>
            <w:tcW w:type="dxa" w:w="2800"/>
          </w:tcPr>
          <w:p>
            <w:r>
              <w:rPr>
                <w:b w:val="false"/>
                <w:bCs w:val="false"/>
                <w:color w:val="000000"/>
              </w:rPr>
              <w:t xml:space="preserve">8 years / 1,60,000 km</w:t>
            </w:r>
          </w:p>
        </w:tc>
      </w:tr>
      <w:tr>
        <w:tc>
          <w:tcPr>
            <w:tcW w:type="dxa" w:w="3200"/>
          </w:tcPr>
          <w:p>
            <w:r>
              <w:rPr>
                <w:b w:val="false"/>
                <w:bCs w:val="false"/>
                <w:color w:val="000000"/>
              </w:rPr>
              <w:t xml:space="preserve">Paint Warranty</w:t>
            </w:r>
          </w:p>
        </w:tc>
        <w:tc>
          <w:tcPr>
            <w:tcW w:type="dxa" w:w="2600"/>
          </w:tcPr>
          <w:p>
            <w:r>
              <w:rPr>
                <w:b w:val="false"/>
                <w:bCs w:val="false"/>
                <w:color w:val="000000"/>
              </w:rPr>
              <w:t xml:space="preserve">Paint peeling/fading defects</w:t>
            </w:r>
          </w:p>
        </w:tc>
        <w:tc>
          <w:tcPr>
            <w:tcW w:type="dxa" w:w="2800"/>
          </w:tcPr>
          <w:p>
            <w:r>
              <w:rPr>
                <w:b w:val="false"/>
                <w:bCs w:val="false"/>
                <w:color w:val="000000"/>
              </w:rPr>
              <w:t xml:space="preserve">3 years</w:t>
            </w:r>
          </w:p>
        </w:tc>
      </w:tr>
      <w:tr>
        <w:tc>
          <w:tcPr>
            <w:tcW w:type="dxa" w:w="3200"/>
          </w:tcPr>
          <w:p>
            <w:r>
              <w:rPr>
                <w:b w:val="false"/>
                <w:bCs w:val="false"/>
                <w:color w:val="000000"/>
              </w:rPr>
              <w:t xml:space="preserve">Corrosion Warranty</w:t>
            </w:r>
          </w:p>
        </w:tc>
        <w:tc>
          <w:tcPr>
            <w:tcW w:type="dxa" w:w="2600"/>
          </w:tcPr>
          <w:p>
            <w:r>
              <w:rPr>
                <w:b w:val="false"/>
                <w:bCs w:val="false"/>
                <w:color w:val="000000"/>
              </w:rPr>
              <w:t xml:space="preserve">Body rust-through</w:t>
            </w:r>
          </w:p>
        </w:tc>
        <w:tc>
          <w:tcPr>
            <w:tcW w:type="dxa" w:w="2800"/>
          </w:tcPr>
          <w:p>
            <w:r>
              <w:rPr>
                <w:b w:val="false"/>
                <w:bCs w:val="false"/>
                <w:color w:val="000000"/>
              </w:rPr>
              <w:t xml:space="preserve">6 years</w:t>
            </w:r>
          </w:p>
        </w:tc>
      </w:tr>
    </w:tbl>
    <w:p>
      <w:pPr>
        <w:spacing w:after="120"/>
      </w:pPr>
      <w:r>
        <w:t xml:space="preserve"/>
      </w:r>
    </w:p>
    <w:p>
      <w:pPr>
        <w:pStyle w:val="Heading1"/>
        <w:spacing w:after="120" w:before="240"/>
      </w:pPr>
      <w:r>
        <w:t xml:space="preserve">3. What Is Covered</w:t>
      </w:r>
    </w:p>
    <w:p>
      <w:pPr>
        <w:pStyle w:val="ListParagraph"/>
        <w:numPr>
          <w:ilvl w:val="0"/>
          <w:numId w:val="1"/>
        </w:numPr>
        <w:spacing w:after="80"/>
      </w:pPr>
      <w:r>
        <w:t xml:space="preserve">Manufacturing defects in material or workmanship</w:t>
      </w:r>
    </w:p>
    <w:p>
      <w:pPr>
        <w:pStyle w:val="ListParagraph"/>
        <w:numPr>
          <w:ilvl w:val="0"/>
          <w:numId w:val="1"/>
        </w:numPr>
        <w:spacing w:after="80"/>
      </w:pPr>
      <w:r>
        <w:t xml:space="preserve">Engine, transmission, and drivetrain components</w:t>
      </w:r>
    </w:p>
    <w:p>
      <w:pPr>
        <w:pStyle w:val="ListParagraph"/>
        <w:numPr>
          <w:ilvl w:val="0"/>
          <w:numId w:val="1"/>
        </w:numPr>
        <w:spacing w:after="80"/>
      </w:pPr>
      <w:r>
        <w:t xml:space="preserve">Electrical systems including infotainment hardware faults (not software misuse)</w:t>
      </w:r>
    </w:p>
    <w:p>
      <w:pPr>
        <w:pStyle w:val="ListParagraph"/>
        <w:numPr>
          <w:ilvl w:val="0"/>
          <w:numId w:val="1"/>
        </w:numPr>
        <w:spacing w:after="80"/>
      </w:pPr>
      <w:r>
        <w:t xml:space="preserve">Air-conditioning compressor and climate control unit defects</w:t>
      </w:r>
    </w:p>
    <w:p>
      <w:pPr>
        <w:pStyle w:val="ListParagraph"/>
        <w:numPr>
          <w:ilvl w:val="0"/>
          <w:numId w:val="1"/>
        </w:numPr>
        <w:spacing w:after="80"/>
      </w:pPr>
      <w:r>
        <w:t xml:space="preserve">Fuel system and CNG kit components (factory-fitted only)</w:t>
      </w:r>
    </w:p>
    <w:p>
      <w:pPr>
        <w:pStyle w:val="Heading1"/>
        <w:spacing w:after="120" w:before="240"/>
      </w:pPr>
      <w:r>
        <w:t xml:space="preserve">4. What Is NOT Covered</w:t>
      </w:r>
    </w:p>
    <w:p>
      <w:pPr>
        <w:pStyle w:val="ListParagraph"/>
        <w:numPr>
          <w:ilvl w:val="0"/>
          <w:numId w:val="1"/>
        </w:numPr>
        <w:spacing w:after="80"/>
      </w:pPr>
      <w:r>
        <w:t xml:space="preserve">Normal wear-and-tear items: brake pads (after 1st replacement), clutch plates, wiper blades, bulbs</w:t>
      </w:r>
    </w:p>
    <w:p>
      <w:pPr>
        <w:pStyle w:val="ListParagraph"/>
        <w:numPr>
          <w:ilvl w:val="0"/>
          <w:numId w:val="1"/>
        </w:numPr>
        <w:spacing w:after="80"/>
      </w:pPr>
      <w:r>
        <w:t xml:space="preserve">Damage due to accidents, floods, fire, or natural calamities</w:t>
      </w:r>
    </w:p>
    <w:p>
      <w:pPr>
        <w:pStyle w:val="ListParagraph"/>
        <w:numPr>
          <w:ilvl w:val="0"/>
          <w:numId w:val="1"/>
        </w:numPr>
        <w:spacing w:after="80"/>
      </w:pPr>
      <w:r>
        <w:t xml:space="preserve">Any unauthorized modification, aftermarket CNG/LPG fitment, or non-genuine parts usage</w:t>
      </w:r>
    </w:p>
    <w:p>
      <w:pPr>
        <w:pStyle w:val="ListParagraph"/>
        <w:numPr>
          <w:ilvl w:val="0"/>
          <w:numId w:val="1"/>
        </w:numPr>
        <w:spacing w:after="80"/>
      </w:pPr>
      <w:r>
        <w:t xml:space="preserve">Damage due to failure to follow the recommended service schedule</w:t>
      </w:r>
    </w:p>
    <w:p>
      <w:pPr>
        <w:pStyle w:val="ListParagraph"/>
        <w:numPr>
          <w:ilvl w:val="0"/>
          <w:numId w:val="1"/>
        </w:numPr>
        <w:spacing w:after="80"/>
      </w:pPr>
      <w:r>
        <w:t xml:space="preserve">Cosmetic wear such as upholstery fading or minor scratches from regular use</w:t>
      </w:r>
    </w:p>
    <w:p>
      <w:pPr>
        <w:pStyle w:val="Heading1"/>
        <w:spacing w:after="120" w:before="240"/>
      </w:pPr>
      <w:r>
        <w:t xml:space="preserve">5. Extended Warranty (SEW) Plans</w:t>
      </w:r>
    </w:p>
    <w:p>
      <w:pPr>
        <w:spacing w:after="120"/>
      </w:pPr>
      <w:r>
        <w:t xml:space="preserve">Suzuki Extended Warranty (SEW) can be purchased at the time of vehicle delivery or within the standard warranty period. Three tiers are available:</w:t>
      </w:r>
    </w:p>
    <w:p>
      <w:pPr>
        <w:pStyle w:val="ListParagraph"/>
        <w:numPr>
          <w:ilvl w:val="0"/>
          <w:numId w:val="1"/>
        </w:numPr>
        <w:spacing w:after="80"/>
      </w:pPr>
      <w:r>
        <w:t xml:space="preserve">SEW Silver: +1 year / +20,000 km beyond standard warranty — approx. Rs. 6,500-9,000 depending on model</w:t>
      </w:r>
    </w:p>
    <w:p>
      <w:pPr>
        <w:pStyle w:val="ListParagraph"/>
        <w:numPr>
          <w:ilvl w:val="0"/>
          <w:numId w:val="1"/>
        </w:numPr>
        <w:spacing w:after="80"/>
      </w:pPr>
      <w:r>
        <w:t xml:space="preserve">SEW Gold: +2 years / +40,000 km beyond standard warranty — approx. Rs. 11,000-15,500 depending on model</w:t>
      </w:r>
    </w:p>
    <w:p>
      <w:pPr>
        <w:pStyle w:val="ListParagraph"/>
        <w:numPr>
          <w:ilvl w:val="0"/>
          <w:numId w:val="1"/>
        </w:numPr>
        <w:spacing w:after="80"/>
      </w:pPr>
      <w:r>
        <w:t xml:space="preserve">SEW Platinum: +3 years / +60,000 km beyond standard warranty — approx. Rs. 16,000-21,000 depending on model</w:t>
      </w:r>
    </w:p>
    <w:p>
      <w:pPr>
        <w:pStyle w:val="Heading1"/>
        <w:spacing w:after="120" w:before="240"/>
      </w:pPr>
      <w:r>
        <w:t xml:space="preserve">6. Roadside Assistance (RSA)</w:t>
      </w:r>
    </w:p>
    <w:p>
      <w:pPr>
        <w:spacing w:after="120"/>
      </w:pPr>
      <w:r>
        <w:t xml:space="preserve">Complimentary RSA is provided for the first year from the date of purchase, covering flat tyre assistance, battery jump-start, fuel delivery (up to 5 litres), towing to the nearest authorized service centre, and minor on-spot repairs. RSA can be renewed annually thereafter for approximately Rs. 1,500-2,000, depending on the plan tier (Basic/Premium).</w:t>
      </w:r>
    </w:p>
    <w:p>
      <w:pPr>
        <w:pStyle w:val="Heading1"/>
        <w:spacing w:after="120" w:before="240"/>
      </w:pPr>
      <w:r>
        <w:t xml:space="preserve">7. Claim Process</w:t>
      </w:r>
    </w:p>
    <w:p>
      <w:pPr>
        <w:pStyle w:val="ListParagraph"/>
        <w:numPr>
          <w:ilvl w:val="0"/>
          <w:numId w:val="1"/>
        </w:numPr>
        <w:spacing w:after="80"/>
      </w:pPr>
      <w:r>
        <w:t xml:space="preserve">Step 1: Report the issue to the nearest authorized service centre or via the Maruti Suzuki Service Support App</w:t>
      </w:r>
    </w:p>
    <w:p>
      <w:pPr>
        <w:pStyle w:val="ListParagraph"/>
        <w:numPr>
          <w:ilvl w:val="0"/>
          <w:numId w:val="1"/>
        </w:numPr>
        <w:spacing w:after="80"/>
      </w:pPr>
      <w:r>
        <w:t xml:space="preserve">Step 2: Vehicle is inspected and a job card is opened with defect description</w:t>
      </w:r>
    </w:p>
    <w:p>
      <w:pPr>
        <w:pStyle w:val="ListParagraph"/>
        <w:numPr>
          <w:ilvl w:val="0"/>
          <w:numId w:val="1"/>
        </w:numPr>
        <w:spacing w:after="80"/>
      </w:pPr>
      <w:r>
        <w:t xml:space="preserve">Step 3: Service advisor verifies warranty eligibility against chassis number and service history</w:t>
      </w:r>
    </w:p>
    <w:p>
      <w:pPr>
        <w:pStyle w:val="ListParagraph"/>
        <w:numPr>
          <w:ilvl w:val="0"/>
          <w:numId w:val="1"/>
        </w:numPr>
        <w:spacing w:after="80"/>
      </w:pPr>
      <w:r>
        <w:t xml:space="preserve">Step 4: On approval, repair/replacement is carried out at no cost (standard warranty) or as per SEW terms</w:t>
      </w:r>
    </w:p>
    <w:p>
      <w:pPr>
        <w:pStyle w:val="ListParagraph"/>
        <w:numPr>
          <w:ilvl w:val="0"/>
          <w:numId w:val="1"/>
        </w:numPr>
        <w:spacing w:after="80"/>
      </w:pPr>
      <w:r>
        <w:t xml:space="preserve">Step 5: Customer signs off on the completed job card upon vehicle handover</w:t>
      </w:r>
    </w:p>
    <w:p>
      <w:pPr>
        <w:pStyle w:val="Heading1"/>
        <w:spacing w:after="120" w:before="240"/>
      </w:pPr>
      <w:r>
        <w:t xml:space="preserve">8. Contact for Warranty Queries</w:t>
      </w:r>
    </w:p>
    <w:p>
      <w:pPr>
        <w:spacing w:after="120"/>
      </w:pPr>
      <w:r>
        <w:t xml:space="preserve">Warranty Desk, Jaipur City Motors Service Centre, Ajmer Road, Jaipur</w:t>
      </w:r>
    </w:p>
    <w:p>
      <w:pPr>
        <w:spacing w:after="120"/>
      </w:pPr>
      <w:r>
        <w:t xml:space="preserve">Email: warranty@jaipurcitymotors-example.com | Phone: 0141-XXXXXXX (Ext. 4)</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2026-07-21T15:59:02.097Z</dcterms:created>
  <dcterms:modified xsi:type="dcterms:W3CDTF">2026-07-21T15:59:02.106Z</dcterms:modified>
</cp:coreProperties>
</file>

<file path=docProps/custom.xml><?xml version="1.0" encoding="utf-8"?>
<Properties xmlns="http://schemas.openxmlformats.org/officeDocument/2006/custom-properties" xmlns:vt="http://schemas.openxmlformats.org/officeDocument/2006/docPropsVTypes"/>
</file>