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472C4"/>
          <w:sz w:val="20"/>
          <w:szCs w:val="20"/>
        </w:rPr>
        <w:t xml:space="preserve">Chiltern Vale Borough Council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ATI – Status Update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Monthly Project Status Update</w:t>
      </w:r>
    </w:p>
    <w:p>
      <w:pPr>
        <w:pBdr>
          <w:bottom w:val="single" w:color="4472C4" w:sz="6" w:space="4"/>
        </w:pBd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Daniel Osei, Project Manager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 issued: </w:t>
      </w:r>
      <w:r>
        <w:rPr>
          <w:rFonts w:ascii="Calibri" w:cs="Calibri" w:eastAsia="Calibri" w:hAnsi="Calibri"/>
          <w:sz w:val="22"/>
          <w:szCs w:val="22"/>
        </w:rPr>
        <w:t xml:space="preserve">04/03/2026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period: </w:t>
      </w:r>
      <w:r>
        <w:rPr>
          <w:rFonts w:ascii="Calibri" w:cs="Calibri" w:eastAsia="Calibri" w:hAnsi="Calibri"/>
          <w:sz w:val="22"/>
          <w:szCs w:val="22"/>
        </w:rPr>
        <w:t xml:space="preserve">20/02/2026 – 04/03/2026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Overall severity status: </w:t>
      </w:r>
      <w:r>
        <w:rPr>
          <w:rFonts w:ascii="Calibri" w:cs="Calibri" w:eastAsia="Calibri" w:hAnsi="Calibri"/>
          <w:sz w:val="22"/>
          <w:szCs w:val="22"/>
        </w:rPr>
        <w:t xml:space="preserve">GREEN</w:t>
      </w:r>
    </w:p>
    <w:p>
      <w:pPr>
        <w:pStyle w:val="Heading1"/>
        <w:spacing w:after="120" w:before="240"/>
      </w:pPr>
      <w:r>
        <w:t xml:space="preserve">1.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Project ATI remains on track. System configuration is progressing well and the data migration approach has been agreed with Northbridge Digital Solutions. No major issues to report this period.</w:t>
      </w:r>
    </w:p>
    <w:p>
      <w:pPr>
        <w:pStyle w:val="Heading1"/>
        <w:spacing w:after="120" w:before="240"/>
      </w:pPr>
      <w:r>
        <w:t xml:space="preserve">2. Progress this period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configuration approximately 70% complete.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migration design on track for sign-off by 27 March.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UAT planning under way; UAT expected to start 6 April.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Telephony integration (Avaya) requirements confirmed with Northbridge; no issues anticipated – integration expected to be straightforward using ServicePoint’s standard Avaya connector.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Training needs analysis started.</w:t>
      </w:r>
    </w:p>
    <w:p>
      <w:pPr>
        <w:pStyle w:val="Heading1"/>
        <w:spacing w:after="120" w:before="240"/>
      </w:pPr>
      <w:r>
        <w:t xml:space="preserve">3. Current position against milestones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milestones are currently on track. Go-live remains targeted for 28 May 2026.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Budget: £198,000 spent of £480,000 approved (41%).</w:t>
      </w:r>
    </w:p>
    <w:p>
      <w:pPr>
        <w:pStyle w:val="Heading1"/>
        <w:spacing w:after="120" w:before="240"/>
      </w:pPr>
      <w:r>
        <w:t xml:space="preserve">4. Key issues / delays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None significant at this time. Minor resourcing pressure is anticipated around May due to overlap with waste contract renewal work, but this is considered manageable.</w:t>
      </w:r>
    </w:p>
    <w:p>
      <w:pPr>
        <w:pStyle w:val="Heading1"/>
        <w:spacing w:after="120" w:before="240"/>
      </w:pPr>
      <w:r>
        <w:t xml:space="preserve">5. Priorities for next period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Finalise data migration design and secure sign-off.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Complete UAT test script development.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Begin telephony integration build.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2026-08-18T11:31:49.992Z</dcterms:created>
  <dcterms:modified xsi:type="dcterms:W3CDTF">2026-08-18T11:31:49.992Z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