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Acme Corp Employee Handbook</w:t>
      </w:r>
    </w:p>
    <w:p>
      <w:r>
        <w:t>This handbook summarizes the policies, benefits, and directory information employees most frequently ask about. It is updated quarterly and supersedes any earlier printed version.</w:t>
      </w:r>
    </w:p>
    <w:p>
      <w:pPr>
        <w:pStyle w:val="Heading1"/>
      </w:pPr>
      <w:r>
        <w:rPr>
          <w:color w:val="1A1A2E"/>
        </w:rPr>
        <w:t>1. Directory</w:t>
      </w:r>
    </w:p>
    <w:p>
      <w:r>
        <w:t>The following directory lists the senior individual contributors and leads across departments. Salary bands are informational only; compensation details are covered in section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Start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Band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Ava Patel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Staff 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Bangalore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2019-03-11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Mateo Rossi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 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Milan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2020-06-01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Priya Nair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Principal 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Bangalore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2018-09-23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Liam O'Connor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 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Dublin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2021-01-18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Sakura Tanaka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 Lead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Tokyo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2017-11-02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Daniel Kim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 Designer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Seoul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2022-04-05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Noor Hassan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Science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Staff 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Dubai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2019-12-14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Carlos Mendes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 Science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 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São Paulo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2021-08-09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Elena Volkov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Enterprise AE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Berlin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2020-02-20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Rahul Iyer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Mid-Market AE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Mumbai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Fatima Zahra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SDR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Casablanca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2023-07-03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Jordan Blake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 Growth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2018-04-30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Mei-Lin Chen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Marketing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Content Lead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Singapore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2021-10-11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Omar Haddad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Success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 Manager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Amman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2020-11-22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Sofia Álvarez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Customer Success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CS 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Madrid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2022-09-19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Victor Hugo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Controller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2016-08-15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Anika Rao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FP&amp;A Analyst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Bangalore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2023-02-06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Tomás Bauer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General Counsel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Zurich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2017-05-29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Leah Okafor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Commercial Counsel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Lagos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2021-12-01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Hiro Saito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People Ops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Head of People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Tokyo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2019-07-17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L6</w:t>
            </w:r>
          </w:p>
        </w:tc>
      </w:tr>
    </w:tbl>
    <w:p/>
    <w:p>
      <w:pPr>
        <w:pStyle w:val="Heading1"/>
      </w:pPr>
      <w:r>
        <w:rPr>
          <w:color w:val="1A1A2E"/>
        </w:rPr>
        <w:t>2. Leave &amp; Time Off</w:t>
      </w:r>
    </w:p>
    <w:p>
      <w:r>
        <w:t>Acme offers the following leave types. Unless noted otherwise, requests flow through the HRIS, with manager approval required for continuous absences longer than five working days.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Leave type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Allotment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Accrual rule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 monthly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Carry 5 days to next year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Upfront Jan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carry-over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Parental (primary)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 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12 months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Fully 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Parental (secondary)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12 months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Fully 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Bereavement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Extends to immediate family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Sabbatical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5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approval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Wellness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days /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Upfront Jan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documentation needed</w:t>
            </w:r>
          </w:p>
        </w:tc>
      </w:tr>
    </w:tbl>
    <w:p/>
    <w:p>
      <w:pPr>
        <w:pStyle w:val="Heading1"/>
      </w:pPr>
      <w:r>
        <w:rPr>
          <w:color w:val="1A1A2E"/>
        </w:rPr>
        <w:t>3. Compensation</w:t>
      </w:r>
    </w:p>
    <w:p>
      <w:r>
        <w:t>Base salary is reviewed once per year in February. Employees in band L5 and above are eligible for an annual equity refresh. The performance bonus target is 10% of base for L3–L4, 15% for L5–L6, and 20% for L7+. Payouts are made in March based on the prior calendar year.</w:t>
      </w:r>
    </w:p>
    <w:p>
      <w:pPr>
        <w:pStyle w:val="Heading1"/>
      </w:pPr>
      <w:r>
        <w:rPr>
          <w:color w:val="1A1A2E"/>
        </w:rPr>
        <w:t>4. Remote Work</w:t>
      </w:r>
    </w:p>
    <w:p>
      <w:r>
        <w:t>Employees who have completed their 90-day probation may work remotely full-time or on a hybrid schedule. Core collaboration hours are 10:00 to 16:00 in the employee's local time zone. A one-time home-office stipend of $750 is available, plus $500 per year for upgrades, subject to manager approval.</w:t>
      </w:r>
    </w:p>
    <w:p>
      <w:pPr>
        <w:pStyle w:val="Heading1"/>
      </w:pPr>
      <w:r>
        <w:rPr>
          <w:color w:val="1A1A2E"/>
        </w:rPr>
        <w:t>5. Security &amp; Compliance</w:t>
      </w:r>
    </w:p>
    <w:p>
      <w:r>
        <w:t>All laptops must be enrolled in the MDM and encrypted at rest. Passwords must be at least 14 characters and rotated every 180 days. Two-factor authentication using a hardware key or an authenticator app is mandatory for production systems and source-code repositories.</w:t>
      </w:r>
    </w:p>
    <w:p>
      <w:r>
        <w:t>Security incidents must be reported to security@acme.example within one hour of discovery. The on-call security team acknowledges within 30 minutes and coordinates the response. Post-incident review is mandatory within five business days.</w:t>
      </w:r>
    </w:p>
    <w:p>
      <w:pPr>
        <w:pStyle w:val="Heading1"/>
      </w:pPr>
      <w:r>
        <w:rPr>
          <w:color w:val="1A1A2E"/>
        </w:rPr>
        <w:t>6. Travel &amp; Expenses</w:t>
      </w:r>
    </w:p>
    <w:p>
      <w:r>
        <w:t>For quarterly on-site visits, remote employees may expense flights, lodging, and ground transport up to $1,200 per trip. Meal per-diems are $75 per day domestically and $100 per day for international travel. Receipts are required for any single item over $25.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