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04" w:rsidRDefault="00AF3304" w:rsidP="00AF3304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Appendix</w:t>
      </w:r>
      <w:bookmarkStart w:id="0" w:name="_GoBack"/>
      <w:bookmarkEnd w:id="0"/>
    </w:p>
    <w:p w:rsidR="00AF3304" w:rsidRDefault="00AF3304" w:rsidP="00AF3304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04A40F4" wp14:editId="7BAAB232">
            <wp:extent cx="5731510" cy="2736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04" w:rsidRDefault="00AF3304" w:rsidP="00AF3304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Calibri" w:hAnsi="Times New Roman" w:cs="Times New Roman"/>
          <w:bCs/>
          <w:sz w:val="24"/>
          <w:szCs w:val="24"/>
        </w:rPr>
        <w:t>: Blood trend and donation index in Zimbabwe from 2002-2019</w:t>
      </w:r>
    </w:p>
    <w:p w:rsidR="00AF3304" w:rsidRDefault="00AF3304" w:rsidP="00AF3304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E831509" wp14:editId="65CAD142">
            <wp:extent cx="5730875" cy="24511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659" cy="24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04" w:rsidRDefault="00AF3304" w:rsidP="00AF330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A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: Seasonal subseries plot of monthly blood donations from 2009-2019</w:t>
      </w:r>
    </w:p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CACCC2" wp14:editId="6F1E0B03">
            <wp:extent cx="5705475" cy="27051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A3</w:t>
      </w:r>
      <w:r>
        <w:rPr>
          <w:rFonts w:ascii="Times New Roman" w:hAnsi="Times New Roman" w:cs="Times New Roman"/>
          <w:sz w:val="24"/>
          <w:szCs w:val="24"/>
        </w:rPr>
        <w:t xml:space="preserve">: Plot of the decomposed blood donation series </w:t>
      </w:r>
      <w:r>
        <w:rPr>
          <w:rFonts w:ascii="Times New Roman" w:hAnsi="Times New Roman" w:cs="Times New Roman"/>
          <w:sz w:val="24"/>
          <w:szCs w:val="24"/>
          <w:lang w:val="en-US"/>
        </w:rPr>
        <w:t>(from top: original series, long term trend component, seasonal component, irregular or random/residual component)</w:t>
      </w:r>
    </w:p>
    <w:p w:rsidR="00AF3304" w:rsidRDefault="00AF3304" w:rsidP="00AF3304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95870" wp14:editId="0BE2C5B0">
            <wp:extent cx="6086475" cy="27813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04" w:rsidRDefault="00AF3304" w:rsidP="00AF3304">
      <w:pPr>
        <w:pStyle w:val="Caption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Time series plot of the stationary data</w:t>
      </w:r>
    </w:p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304" w:rsidRDefault="00AF3304" w:rsidP="00AF3304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SARIMA models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1134"/>
        <w:gridCol w:w="1025"/>
        <w:gridCol w:w="1160"/>
        <w:gridCol w:w="1164"/>
        <w:gridCol w:w="1255"/>
        <w:gridCol w:w="996"/>
        <w:gridCol w:w="1116"/>
        <w:gridCol w:w="1166"/>
      </w:tblGrid>
      <w:tr w:rsidR="00AF3304" w:rsidTr="0037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:rsidR="00AF3304" w:rsidRDefault="00AF3304" w:rsidP="00370D9C">
            <w:pPr>
              <w:spacing w:after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Model 1: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SARIMA 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1,1,2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0,1,1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model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bottom w:val="single" w:sz="4" w:space="0" w:color="666666" w:themeColor="text1" w:themeTint="99"/>
            </w:tcBorders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 S.E.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Z - value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p-value</w:t>
            </w:r>
          </w:p>
        </w:tc>
        <w:tc>
          <w:tcPr>
            <w:tcW w:w="99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</w:t>
            </w:r>
          </w:p>
        </w:tc>
        <w:tc>
          <w:tcPr>
            <w:tcW w:w="111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AICc</w:t>
            </w:r>
          </w:p>
        </w:tc>
        <w:tc>
          <w:tcPr>
            <w:tcW w:w="116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BIC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 1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0.9531  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0.0592   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16.1001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2.2e-16</w:t>
            </w:r>
          </w:p>
        </w:tc>
        <w:tc>
          <w:tcPr>
            <w:tcW w:w="996" w:type="dxa"/>
            <w:vMerge w:val="restart"/>
          </w:tcPr>
          <w:p w:rsidR="00AF3304" w:rsidRDefault="00AF3304" w:rsidP="00370D9C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1773.81</w:t>
            </w:r>
          </w:p>
        </w:tc>
        <w:tc>
          <w:tcPr>
            <w:tcW w:w="1116" w:type="dxa"/>
            <w:vMerge w:val="restart"/>
          </w:tcPr>
          <w:p w:rsidR="00AF3304" w:rsidRDefault="00AF3304" w:rsidP="00370D9C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1774.404</w:t>
            </w:r>
          </w:p>
        </w:tc>
        <w:tc>
          <w:tcPr>
            <w:tcW w:w="1166" w:type="dxa"/>
            <w:vMerge w:val="restart"/>
          </w:tcPr>
          <w:p w:rsidR="00AF3304" w:rsidRDefault="00AF3304" w:rsidP="00370D9C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1787.174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1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-1.7574  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0.0710  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-24.7604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2.2e-16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2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0.8040  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0.0677   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11.8826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2.2e-16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SMA 1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-0.8072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0.1277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-6.3215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2.591e-10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Model 2: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SARIMA 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2,1,1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0,1,1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model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 S.E.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Z- value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p-value</w:t>
            </w:r>
          </w:p>
        </w:tc>
        <w:tc>
          <w:tcPr>
            <w:tcW w:w="996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</w:t>
            </w:r>
          </w:p>
        </w:tc>
        <w:tc>
          <w:tcPr>
            <w:tcW w:w="1116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AICc</w:t>
            </w:r>
          </w:p>
        </w:tc>
        <w:tc>
          <w:tcPr>
            <w:tcW w:w="1166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BIC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 1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-0.1752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0.1448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-1.2099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0.22633</w:t>
            </w:r>
          </w:p>
        </w:tc>
        <w:tc>
          <w:tcPr>
            <w:tcW w:w="996" w:type="dxa"/>
            <w:vMerge w:val="restart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1778.16</w:t>
            </w:r>
          </w:p>
        </w:tc>
        <w:tc>
          <w:tcPr>
            <w:tcW w:w="1116" w:type="dxa"/>
            <w:vMerge w:val="restart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1778.751</w:t>
            </w:r>
          </w:p>
        </w:tc>
        <w:tc>
          <w:tcPr>
            <w:tcW w:w="1166" w:type="dxa"/>
            <w:vMerge w:val="restart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1791.521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 2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-0.2004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0.1171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-1.7110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0.08708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1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-0.5532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0.1239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-4.4630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8.081e-06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SMA 1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-0.7626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0.1281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-5.9543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2.612e-09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CCCCCC" w:themeFill="text1" w:themeFillTint="33"/>
          </w:tcPr>
          <w:p w:rsidR="00AF3304" w:rsidRDefault="00AF3304" w:rsidP="00370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:rsidR="00AF3304" w:rsidRDefault="00AF3304" w:rsidP="00370D9C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Model 3: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SARIMA 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0,1,1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1,1,1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model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 S.E.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Z- value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p-value</w:t>
            </w:r>
          </w:p>
        </w:tc>
        <w:tc>
          <w:tcPr>
            <w:tcW w:w="99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</w:t>
            </w:r>
          </w:p>
        </w:tc>
        <w:tc>
          <w:tcPr>
            <w:tcW w:w="111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AICc</w:t>
            </w:r>
          </w:p>
        </w:tc>
        <w:tc>
          <w:tcPr>
            <w:tcW w:w="116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BIC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1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-0.7059  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0.0605  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-11.6690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2.2e-16</w:t>
            </w:r>
          </w:p>
        </w:tc>
        <w:tc>
          <w:tcPr>
            <w:tcW w:w="996" w:type="dxa"/>
            <w:vMerge w:val="restart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1777.39</w:t>
            </w:r>
          </w:p>
        </w:tc>
        <w:tc>
          <w:tcPr>
            <w:tcW w:w="1116" w:type="dxa"/>
            <w:vMerge w:val="restart"/>
          </w:tcPr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1777.785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 w:val="restart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1788.084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 1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0.2023  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0.1158   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1.7467  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0.080695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SMA 1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-0.9999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-2.9031  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0.003695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CCCCCC" w:themeFill="text1" w:themeFillTint="33"/>
          </w:tcPr>
          <w:p w:rsidR="00AF3304" w:rsidRDefault="00AF3304" w:rsidP="00370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:rsidR="00AF3304" w:rsidRDefault="00AF3304" w:rsidP="00370D9C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Model 4: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SARIMA 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1,1,2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1,1,1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model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Coef S.E.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Z- value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p-value</w:t>
            </w:r>
          </w:p>
        </w:tc>
        <w:tc>
          <w:tcPr>
            <w:tcW w:w="99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</w:t>
            </w:r>
          </w:p>
        </w:tc>
        <w:tc>
          <w:tcPr>
            <w:tcW w:w="111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AICc</w:t>
            </w:r>
          </w:p>
        </w:tc>
        <w:tc>
          <w:tcPr>
            <w:tcW w:w="1166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BIC</w:t>
            </w: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 1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0.9541  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0.0680   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14.0379  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2e-16</w:t>
            </w:r>
          </w:p>
        </w:tc>
        <w:tc>
          <w:tcPr>
            <w:tcW w:w="996" w:type="dxa"/>
            <w:vMerge w:val="restart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1775.56</w:t>
            </w:r>
          </w:p>
        </w:tc>
        <w:tc>
          <w:tcPr>
            <w:tcW w:w="1116" w:type="dxa"/>
            <w:vMerge w:val="restart"/>
          </w:tcPr>
          <w:p w:rsidR="00AF3304" w:rsidRDefault="00AF3304" w:rsidP="00370D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1776.395</w:t>
            </w:r>
          </w:p>
        </w:tc>
        <w:tc>
          <w:tcPr>
            <w:tcW w:w="1166" w:type="dxa"/>
            <w:vMerge w:val="restart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1791.592</w:t>
            </w: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1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-1.7536  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0.0715  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-24.5300  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2e-16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 2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0.7980  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0.0682  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11.7048  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2e-16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 1</w:t>
            </w:r>
          </w:p>
        </w:tc>
        <w:tc>
          <w:tcPr>
            <w:tcW w:w="102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0.0925  </w:t>
            </w:r>
          </w:p>
        </w:tc>
        <w:tc>
          <w:tcPr>
            <w:tcW w:w="1160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0.1921   </w:t>
            </w:r>
          </w:p>
        </w:tc>
        <w:tc>
          <w:tcPr>
            <w:tcW w:w="1164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0.4814  </w:t>
            </w:r>
          </w:p>
        </w:tc>
        <w:tc>
          <w:tcPr>
            <w:tcW w:w="1255" w:type="dxa"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0.63020    </w:t>
            </w:r>
          </w:p>
        </w:tc>
        <w:tc>
          <w:tcPr>
            <w:tcW w:w="99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  <w:shd w:val="clear" w:color="auto" w:fill="CCCCCC" w:themeFill="text1" w:themeFillTint="33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F3304" w:rsidTr="0037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F3304" w:rsidRDefault="00AF3304" w:rsidP="00370D9C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SMA 1</w:t>
            </w:r>
          </w:p>
        </w:tc>
        <w:tc>
          <w:tcPr>
            <w:tcW w:w="102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-0.9060</w:t>
            </w:r>
          </w:p>
        </w:tc>
        <w:tc>
          <w:tcPr>
            <w:tcW w:w="1160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0.3713</w:t>
            </w:r>
          </w:p>
        </w:tc>
        <w:tc>
          <w:tcPr>
            <w:tcW w:w="1164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-2.4404  </w:t>
            </w:r>
          </w:p>
        </w:tc>
        <w:tc>
          <w:tcPr>
            <w:tcW w:w="1255" w:type="dxa"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0.01467</w:t>
            </w:r>
          </w:p>
        </w:tc>
        <w:tc>
          <w:tcPr>
            <w:tcW w:w="99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:rsidR="00AF3304" w:rsidRDefault="00AF3304" w:rsidP="00370D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F3304" w:rsidRDefault="00AF3304" w:rsidP="00AF3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E11" w:rsidRDefault="002E5F02"/>
    <w:sectPr w:rsidR="00074E11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02" w:rsidRDefault="002E5F02" w:rsidP="00AF3304">
      <w:pPr>
        <w:spacing w:after="0" w:line="240" w:lineRule="auto"/>
      </w:pPr>
      <w:r>
        <w:separator/>
      </w:r>
    </w:p>
  </w:endnote>
  <w:endnote w:type="continuationSeparator" w:id="0">
    <w:p w:rsidR="002E5F02" w:rsidRDefault="002E5F02" w:rsidP="00A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152302"/>
    </w:sdtPr>
    <w:sdtEndPr>
      <w:rPr>
        <w:rFonts w:ascii="Arial" w:hAnsi="Arial" w:cs="Arial"/>
      </w:rPr>
    </w:sdtEndPr>
    <w:sdtContent>
      <w:p w:rsidR="00C84962" w:rsidRPr="00AF3304" w:rsidRDefault="00AF3304">
        <w:pPr>
          <w:pStyle w:val="Footer"/>
          <w:jc w:val="center"/>
          <w:rPr>
            <w:rFonts w:ascii="Arial" w:hAnsi="Arial" w:cs="Arial"/>
          </w:rPr>
        </w:pPr>
        <w:r w:rsidRPr="00AF3304">
          <w:rPr>
            <w:rFonts w:ascii="Arial" w:hAnsi="Arial" w:cs="Arial"/>
          </w:rPr>
          <w:fldChar w:fldCharType="begin"/>
        </w:r>
        <w:r w:rsidRPr="00AF3304">
          <w:rPr>
            <w:rFonts w:ascii="Arial" w:hAnsi="Arial" w:cs="Arial"/>
          </w:rPr>
          <w:instrText xml:space="preserve"> PAGE   \* MERGEFORMAT </w:instrText>
        </w:r>
        <w:r w:rsidRPr="00AF3304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 w:rsidRPr="00AF3304">
          <w:rPr>
            <w:rFonts w:ascii="Arial" w:hAnsi="Arial" w:cs="Arial"/>
            <w:noProof/>
          </w:rPr>
          <w:fldChar w:fldCharType="end"/>
        </w:r>
      </w:p>
    </w:sdtContent>
  </w:sdt>
  <w:p w:rsidR="00C84962" w:rsidRDefault="002E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02" w:rsidRDefault="002E5F02" w:rsidP="00AF3304">
      <w:pPr>
        <w:spacing w:after="0" w:line="240" w:lineRule="auto"/>
      </w:pPr>
      <w:r>
        <w:separator/>
      </w:r>
    </w:p>
  </w:footnote>
  <w:footnote w:type="continuationSeparator" w:id="0">
    <w:p w:rsidR="002E5F02" w:rsidRDefault="002E5F02" w:rsidP="00AF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04"/>
    <w:rsid w:val="002E5F02"/>
    <w:rsid w:val="006935DA"/>
    <w:rsid w:val="00AF3304"/>
    <w:rsid w:val="00B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1081-EB36-48B0-BC44-18763FEA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0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33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AF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F3304"/>
    <w:rPr>
      <w:lang w:val="en-GB"/>
    </w:rPr>
  </w:style>
  <w:style w:type="table" w:customStyle="1" w:styleId="GridTable6Colorful1">
    <w:name w:val="Grid Table 6 Colorful1"/>
    <w:basedOn w:val="TableNormal"/>
    <w:uiPriority w:val="51"/>
    <w:qFormat/>
    <w:rsid w:val="00AF3304"/>
    <w:pPr>
      <w:spacing w:after="0" w:line="240" w:lineRule="auto"/>
    </w:pPr>
    <w:rPr>
      <w:color w:val="000000" w:themeColor="text1"/>
      <w:sz w:val="20"/>
      <w:szCs w:val="20"/>
      <w:lang w:val="en-ZW" w:eastAsia="en-ZW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0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Wennstrom, Stacy</dc:creator>
  <cp:keywords/>
  <dc:description/>
  <cp:lastModifiedBy>Wennstrom, Stacy</cp:lastModifiedBy>
  <cp:revision>1</cp:revision>
  <dcterms:created xsi:type="dcterms:W3CDTF">2023-11-08T19:04:00Z</dcterms:created>
  <dcterms:modified xsi:type="dcterms:W3CDTF">2023-11-08T19:05:00Z</dcterms:modified>
</cp:coreProperties>
</file>