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837"/>
      </w:tblGrid>
      <w:tr>
        <w:tc>
          <w:tcPr>
            <w:tcW w:type="dxa" w:w="5090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rFonts w:ascii="Segoe UI" w:hAnsi="Segoe UI"/>
                <w:b/>
                <w:color w:val="0B3558"/>
                <w:sz w:val="30"/>
              </w:rPr>
              <w:t>STANDARD OPERATING PROCEDURE</w:t>
            </w:r>
          </w:p>
          <w:p>
            <w:pPr>
              <w:spacing w:before="0" w:after="80"/>
            </w:pPr>
            <w:r>
              <w:rPr>
                <w:rFonts w:ascii="Segoe UI" w:hAnsi="Segoe UI"/>
                <w:b/>
                <w:color w:val="64748B"/>
                <w:sz w:val="19"/>
              </w:rPr>
              <w:t>Water Supply Telemetry Alerts &amp; Issue Escalation</w:t>
            </w:r>
          </w:p>
        </w:tc>
        <w:tc>
          <w:tcPr>
            <w:tcW w:type="dxa" w:w="5090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80"/>
              <w:jc w:val="right"/>
            </w:pPr>
            <w:r>
              <w:rPr>
                <w:rFonts w:ascii="Segoe UI" w:hAnsi="Segoe UI"/>
                <w:color w:val="64748B"/>
                <w:sz w:val="16"/>
              </w:rPr>
              <w:t>Document: SOP-ALERT-2026</w:t>
              <w:br/>
              <w:t>System: IoT Water Monitoring</w:t>
              <w:br/>
              <w:t>Effective: October 2026</w:t>
              <w:br/>
              <w:t>Page: 1 of 2</w:t>
            </w:r>
          </w:p>
        </w:tc>
      </w:tr>
    </w:tbl>
    <w:p>
      <w:pPr>
        <w:spacing w:before="40" w:after="120"/>
      </w:pPr>
      <w:r>
        <w:rPr>
          <w:color w:val="0B3558"/>
          <w:sz w:val="16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120" w:after="80"/>
      </w:pPr>
      <w:r>
        <w:rPr>
          <w:rFonts w:ascii="Segoe UI" w:hAnsi="Segoe UI"/>
          <w:b/>
          <w:color w:val="0B3558"/>
          <w:sz w:val="22"/>
        </w:rPr>
        <w:t>1. Definitions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0B3558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0B3558"/>
                <w:sz w:val="20"/>
              </w:rPr>
              <w:t>Village Operator</w:t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1E293B"/>
                <w:sz w:val="17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7"/>
              </w:rPr>
              <w:t xml:space="preserve">Definition: </w:t>
            </w:r>
            <w:r>
              <w:rPr>
                <w:rFonts w:ascii="Segoe UI" w:hAnsi="Segoe UI"/>
                <w:color w:val="1E293B"/>
                <w:sz w:val="17"/>
              </w:rPr>
              <w:t>The operator is responsible for water supply distribution for a particular Elevated Storage Reservoir (ESR) and Village.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1E293B"/>
                <w:sz w:val="17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7"/>
              </w:rPr>
              <w:t xml:space="preserve">Responsibility: </w:t>
            </w:r>
            <w:r>
              <w:rPr>
                <w:rFonts w:ascii="Segoe UI" w:hAnsi="Segoe UI"/>
                <w:color w:val="1E293B"/>
                <w:sz w:val="17"/>
              </w:rPr>
              <w:t>Controls local valves, pump running hours, and daily water release to the village.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1E293B"/>
                <w:sz w:val="17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7"/>
              </w:rPr>
              <w:t xml:space="preserve">Alert Received: </w:t>
            </w:r>
            <w:r>
              <w:rPr>
                <w:rFonts w:ascii="Segoe UI" w:hAnsi="Segoe UI"/>
                <w:color w:val="1E293B"/>
                <w:sz w:val="17"/>
              </w:rPr>
              <w:t>Receives SMS after 24 hours of the value.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EF2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B91C1C"/>
              <w:top w:val="single" w:sz="4" w:space="0" w:color="FECACA"/>
              <w:right w:val="single" w:sz="4" w:space="0" w:color="FECACA"/>
              <w:bottom w:val="single" w:sz="4" w:space="0" w:color="FECACA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B91C1C"/>
                <w:sz w:val="20"/>
              </w:rPr>
              <w:t>Executive Engineer (EE)</w:t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1E293B"/>
                <w:sz w:val="17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7"/>
              </w:rPr>
              <w:t xml:space="preserve">Definition: </w:t>
            </w:r>
            <w:r>
              <w:rPr>
                <w:rFonts w:ascii="Segoe UI" w:hAnsi="Segoe UI"/>
                <w:color w:val="1E293B"/>
                <w:sz w:val="17"/>
              </w:rPr>
              <w:t>The Executive Engineer is in charge and responsible for a complete Division or District.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1E293B"/>
                <w:sz w:val="17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7"/>
              </w:rPr>
              <w:t xml:space="preserve">Responsibility: </w:t>
            </w:r>
            <w:r>
              <w:rPr>
                <w:rFonts w:ascii="Segoe UI" w:hAnsi="Segoe UI"/>
                <w:color w:val="1E293B"/>
                <w:sz w:val="17"/>
              </w:rPr>
              <w:t>Manages all water schemes, sub-divisions, engineers, and operators across the entire district.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1E293B"/>
                <w:sz w:val="17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7"/>
              </w:rPr>
              <w:t xml:space="preserve">Escalation: </w:t>
            </w:r>
            <w:r>
              <w:rPr>
                <w:rFonts w:ascii="Segoe UI" w:hAnsi="Segoe UI"/>
                <w:color w:val="1E293B"/>
                <w:sz w:val="17"/>
              </w:rPr>
              <w:t>Issues which exceed 24 hours are escalated directly to the Executive Engineer.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1E293B"/>
                <w:sz w:val="17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7"/>
              </w:rPr>
              <w:t xml:space="preserve">Alert Received: </w:t>
            </w:r>
            <w:r>
              <w:rPr>
                <w:rFonts w:ascii="Segoe UI" w:hAnsi="Segoe UI"/>
                <w:color w:val="1E293B"/>
                <w:sz w:val="17"/>
              </w:rPr>
              <w:t>Receives both SMS and Email alerts listing all schemes and villages where issues are unresolved for more than 24 hours.</w:t>
            </w:r>
          </w:p>
          <w:p>
            <w:pPr>
              <w:spacing w:before="20" w:after="40"/>
            </w:pPr>
            <w:r>
              <w:rPr>
                <w:rFonts w:ascii="Segoe UI" w:hAnsi="Segoe UI"/>
                <w:b/>
                <w:color w:val="1E293B"/>
                <w:sz w:val="17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7"/>
              </w:rPr>
              <w:t xml:space="preserve">Action Required: </w:t>
            </w:r>
            <w:r>
              <w:rPr>
                <w:rFonts w:ascii="Segoe UI" w:hAnsi="Segoe UI"/>
                <w:color w:val="1E293B"/>
                <w:sz w:val="17"/>
              </w:rPr>
              <w:t>Review the problem with field staff and submit a mandatory report on the Issue Reports page.</w:t>
            </w:r>
          </w:p>
        </w:tc>
      </w:tr>
    </w:tbl>
    <w:p>
      <w:pPr>
        <w:spacing w:before="120" w:after="80"/>
      </w:pPr>
      <w:r>
        <w:rPr>
          <w:rFonts w:ascii="Segoe UI" w:hAnsi="Segoe UI"/>
          <w:b/>
          <w:color w:val="0B3558"/>
          <w:sz w:val="22"/>
        </w:rPr>
        <w:t>2. Alert Types and Trigger Conditions</w:t>
      </w:r>
    </w:p>
    <w:p>
      <w:pPr>
        <w:spacing w:before="0" w:after="60"/>
      </w:pPr>
      <w:r>
        <w:rPr>
          <w:rFonts w:ascii="Segoe UI" w:hAnsi="Segoe UI"/>
          <w:color w:val="1E293B"/>
          <w:sz w:val="17"/>
        </w:rPr>
        <w:t>The system checks daily sensor data every morning at 11:00 AM IST. If values are outside standard limits, an alert is created: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single" w:sz="4" w:space="0" w:color="CBD5E1"/>
        </w:tblBorders>
      </w:tblPr>
      <w:tblGrid>
        <w:gridCol w:w="3394"/>
        <w:gridCol w:w="3394"/>
        <w:gridCol w:w="3394"/>
      </w:tblGrid>
      <w:tr>
        <w:tc>
          <w:tcPr>
            <w:tcW w:type="dxa" w:w="3168"/>
            <w:shd w:fill="EBF3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B3558"/>
                <w:sz w:val="17"/>
              </w:rPr>
              <w:t>Alert Parameter</w:t>
            </w:r>
          </w:p>
        </w:tc>
        <w:tc>
          <w:tcPr>
            <w:tcW w:type="dxa" w:w="3024"/>
            <w:shd w:fill="EBF3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B3558"/>
                <w:sz w:val="17"/>
              </w:rPr>
              <w:t>Normal Standard</w:t>
            </w:r>
          </w:p>
        </w:tc>
        <w:tc>
          <w:tcPr>
            <w:tcW w:type="dxa" w:w="3989"/>
            <w:shd w:fill="EBF3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B3558"/>
                <w:sz w:val="17"/>
              </w:rPr>
              <w:t>Trigger Condition (When Alert is Created)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Low LPCD in Villages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55 LPCD or higher</w:t>
            </w:r>
          </w:p>
        </w:tc>
        <w:tc>
          <w:tcPr>
            <w:tcW w:type="dxa" w:w="398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Daily water supply drops below 55 LPCD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Low Pressure in ESR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0.20 to 1.20 bar (2m to 12m head)</w:t>
            </w:r>
          </w:p>
        </w:tc>
        <w:tc>
          <w:tcPr>
            <w:tcW w:type="dxa" w:w="398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Water pressure drops below 0.20 bar at ESR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Residual Chlorine Out of Range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0.20 to 0.50 mg/L (PPM)</w:t>
            </w:r>
          </w:p>
        </w:tc>
        <w:tc>
          <w:tcPr>
            <w:tcW w:type="dxa" w:w="398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Chlorine is less than 0.20 mg/L (low) or above 0.50 mg/L (high)</w:t>
            </w:r>
          </w:p>
        </w:tc>
      </w:tr>
    </w:tbl>
    <w:p>
      <w:pPr>
        <w:spacing w:before="120" w:after="80"/>
      </w:pPr>
      <w:r>
        <w:rPr>
          <w:rFonts w:ascii="Segoe UI" w:hAnsi="Segoe UI"/>
          <w:b/>
          <w:color w:val="0B3558"/>
          <w:sz w:val="22"/>
        </w:rPr>
        <w:t>3. Alert Notification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8FAFC"/>
                <w:sz w:val="15"/>
              </w:rPr>
              <w:t>NEXT DAY (After 24 Hours of the Value)</w:t>
              <w:br/>
              <w:t>Alert is evaluated at 11:00 AM</w:t>
              <w:br/>
              <w:t>└──&gt; SMS sent to Village Operator (responsible for that ESR &amp; Village)</w:t>
              <w:br/>
              <w:br/>
              <w:t>IF UNRESOLVED AFTER 24 HOURS (Next Day onwards)</w:t>
              <w:br/>
              <w:t>└──&gt; Issue is ESCALATED to Executive Engineer (EE)</w:t>
              <w:br/>
              <w:t xml:space="preserve">     ├── SMS sent to Executive Engineer mobile number</w:t>
              <w:br/>
              <w:t xml:space="preserve">     ├── Email sent to Executive Engineer email address</w:t>
              <w:br/>
              <w:t xml:space="preserve">     └── EE must submit an issue report on the Issue Reports page</w:t>
            </w:r>
          </w:p>
        </w:tc>
      </w:tr>
    </w:tbl>
    <w:p>
      <w:pPr>
        <w:spacing w:before="120" w:after="80"/>
      </w:pPr>
      <w:r>
        <w:rPr>
          <w:rFonts w:ascii="Segoe UI" w:hAnsi="Segoe UI"/>
          <w:b/>
          <w:color w:val="0B3558"/>
          <w:sz w:val="22"/>
        </w:rPr>
        <w:t>4. Method and Channels Used</w:t>
      </w:r>
    </w:p>
    <w:p>
      <w:pPr>
        <w:spacing w:before="20" w:after="40"/>
      </w:pPr>
      <w:r>
        <w:rPr>
          <w:rFonts w:ascii="Segoe UI" w:hAnsi="Segoe UI"/>
          <w:color w:val="1E293B"/>
          <w:sz w:val="17"/>
        </w:rPr>
        <w:t xml:space="preserve">• </w:t>
      </w:r>
      <w:r>
        <w:rPr>
          <w:rFonts w:ascii="Segoe UI" w:hAnsi="Segoe UI"/>
          <w:b/>
          <w:color w:val="1E293B"/>
          <w:sz w:val="17"/>
        </w:rPr>
        <w:t xml:space="preserve">Automatic Daily Schedule: </w:t>
      </w:r>
      <w:r>
        <w:rPr>
          <w:rFonts w:ascii="Segoe UI" w:hAnsi="Segoe UI"/>
          <w:color w:val="1E293B"/>
          <w:sz w:val="17"/>
        </w:rPr>
        <w:t>Telemetry data is evaluated automatically every day at 11:00 AM IST.</w:t>
      </w:r>
    </w:p>
    <w:p>
      <w:pPr>
        <w:spacing w:before="20" w:after="40"/>
      </w:pPr>
      <w:r>
        <w:rPr>
          <w:rFonts w:ascii="Segoe UI" w:hAnsi="Segoe UI"/>
          <w:color w:val="1E293B"/>
          <w:sz w:val="17"/>
        </w:rPr>
        <w:t xml:space="preserve">• </w:t>
      </w:r>
      <w:r>
        <w:rPr>
          <w:rFonts w:ascii="Segoe UI" w:hAnsi="Segoe UI"/>
          <w:b/>
          <w:color w:val="1E293B"/>
          <w:sz w:val="17"/>
        </w:rPr>
        <w:t xml:space="preserve">SMS Method: </w:t>
      </w:r>
      <w:r>
        <w:rPr>
          <w:rFonts w:ascii="Segoe UI" w:hAnsi="Segoe UI"/>
          <w:color w:val="1E293B"/>
          <w:sz w:val="17"/>
        </w:rPr>
        <w:t>Sent through verified SMS gateway directly to mobile numbers stored in database.</w:t>
      </w:r>
    </w:p>
    <w:p>
      <w:pPr>
        <w:spacing w:before="20" w:after="40"/>
      </w:pPr>
      <w:r>
        <w:rPr>
          <w:rFonts w:ascii="Segoe UI" w:hAnsi="Segoe UI"/>
          <w:color w:val="1E293B"/>
          <w:sz w:val="17"/>
        </w:rPr>
        <w:t xml:space="preserve">• </w:t>
      </w:r>
      <w:r>
        <w:rPr>
          <w:rFonts w:ascii="Segoe UI" w:hAnsi="Segoe UI"/>
          <w:b/>
          <w:color w:val="1E293B"/>
          <w:sz w:val="17"/>
        </w:rPr>
        <w:t xml:space="preserve">Email Method: </w:t>
      </w:r>
      <w:r>
        <w:rPr>
          <w:rFonts w:ascii="Segoe UI" w:hAnsi="Segoe UI"/>
          <w:color w:val="1E293B"/>
          <w:sz w:val="17"/>
        </w:rPr>
        <w:t>Automated email sent to contact email addresses stored in database with scheme and village details.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837"/>
      </w:tblGrid>
      <w:tr>
        <w:tc>
          <w:tcPr>
            <w:tcW w:type="dxa" w:w="5090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rFonts w:ascii="Segoe UI" w:hAnsi="Segoe UI"/>
                <w:b/>
                <w:color w:val="0B3558"/>
                <w:sz w:val="30"/>
              </w:rPr>
              <w:t>STANDARD OPERATING PROCEDURE</w:t>
            </w:r>
          </w:p>
          <w:p>
            <w:pPr>
              <w:spacing w:before="0" w:after="80"/>
            </w:pPr>
            <w:r>
              <w:rPr>
                <w:rFonts w:ascii="Segoe UI" w:hAnsi="Segoe UI"/>
                <w:b/>
                <w:color w:val="64748B"/>
                <w:sz w:val="19"/>
              </w:rPr>
              <w:t>Water Supply Telemetry Alerts &amp; Issue Escalation</w:t>
            </w:r>
          </w:p>
        </w:tc>
        <w:tc>
          <w:tcPr>
            <w:tcW w:type="dxa" w:w="5090"/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80"/>
              <w:jc w:val="right"/>
            </w:pPr>
            <w:r>
              <w:rPr>
                <w:rFonts w:ascii="Segoe UI" w:hAnsi="Segoe UI"/>
                <w:color w:val="64748B"/>
                <w:sz w:val="16"/>
              </w:rPr>
              <w:t>Document: SOP-ALERT-2026</w:t>
              <w:br/>
              <w:t>System: IoT Water Monitoring</w:t>
              <w:br/>
              <w:t>Effective: October 2026</w:t>
              <w:br/>
              <w:t>Page: 2 of 2</w:t>
            </w:r>
          </w:p>
        </w:tc>
      </w:tr>
    </w:tbl>
    <w:p>
      <w:pPr>
        <w:spacing w:before="40" w:after="120"/>
      </w:pPr>
      <w:r>
        <w:rPr>
          <w:color w:val="0B3558"/>
          <w:sz w:val="16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120" w:after="80"/>
      </w:pPr>
      <w:r>
        <w:rPr>
          <w:rFonts w:ascii="Segoe UI" w:hAnsi="Segoe UI"/>
          <w:b/>
          <w:color w:val="0B3558"/>
          <w:sz w:val="22"/>
        </w:rPr>
        <w:t>5. Who Receives SMS and Email (Summary Table)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single" w:sz="4" w:space="0" w:color="CBD5E1"/>
        </w:tblBorders>
      </w:tblPr>
      <w:tblGrid>
        <w:gridCol w:w="2545"/>
        <w:gridCol w:w="2545"/>
        <w:gridCol w:w="2545"/>
        <w:gridCol w:w="2545"/>
      </w:tblGrid>
      <w:tr>
        <w:tc>
          <w:tcPr>
            <w:tcW w:type="dxa" w:w="2304"/>
            <w:shd w:fill="EBF3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B3558"/>
                <w:sz w:val="17"/>
              </w:rPr>
              <w:t>Recipient</w:t>
            </w:r>
          </w:p>
        </w:tc>
        <w:tc>
          <w:tcPr>
            <w:tcW w:type="dxa" w:w="2592"/>
            <w:shd w:fill="EBF3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B3558"/>
                <w:sz w:val="17"/>
              </w:rPr>
              <w:t>In How Many Days</w:t>
            </w:r>
          </w:p>
        </w:tc>
        <w:tc>
          <w:tcPr>
            <w:tcW w:type="dxa" w:w="1872"/>
            <w:shd w:fill="EBF3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B3558"/>
                <w:sz w:val="17"/>
              </w:rPr>
              <w:t>Channel</w:t>
            </w:r>
          </w:p>
        </w:tc>
        <w:tc>
          <w:tcPr>
            <w:tcW w:type="dxa" w:w="3413"/>
            <w:shd w:fill="EBF3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B3558"/>
                <w:sz w:val="17"/>
              </w:rPr>
              <w:t>Details Sent</w:t>
            </w:r>
          </w:p>
        </w:tc>
      </w:tr>
      <w:tr>
        <w:tc>
          <w:tcPr>
            <w:tcW w:type="dxa" w:w="2304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Village Operator</w:t>
            </w:r>
          </w:p>
        </w:tc>
        <w:tc>
          <w:tcPr>
            <w:tcW w:type="dxa" w:w="259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Next Day (After 24 hours of the value)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SMS</w:t>
            </w:r>
          </w:p>
        </w:tc>
        <w:tc>
          <w:tcPr>
            <w:tcW w:type="dxa" w:w="341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Scheme name, village name, ESR name, observed value, and water supply details.</w:t>
            </w:r>
          </w:p>
        </w:tc>
      </w:tr>
      <w:tr>
        <w:tc>
          <w:tcPr>
            <w:tcW w:type="dxa" w:w="2304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>Executive Engineer (EE)</w:t>
            </w:r>
          </w:p>
        </w:tc>
        <w:tc>
          <w:tcPr>
            <w:tcW w:type="dxa" w:w="259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Next Day onwards (When issue exceeds 24 hours)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SMS + Email</w:t>
            </w:r>
          </w:p>
        </w:tc>
        <w:tc>
          <w:tcPr>
            <w:tcW w:type="dxa" w:w="341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List of schemes and villages in the division with issues older than 24 hours, operator contacts, and reminder to submit issue report.</w:t>
            </w:r>
          </w:p>
        </w:tc>
      </w:tr>
    </w:tbl>
    <w:p>
      <w:pPr>
        <w:spacing w:before="120" w:after="80"/>
      </w:pPr>
      <w:r>
        <w:rPr>
          <w:rFonts w:ascii="Segoe UI" w:hAnsi="Segoe UI"/>
          <w:b/>
          <w:color w:val="0B3558"/>
          <w:sz w:val="22"/>
        </w:rPr>
        <w:t>6. Mandatory Action for Executive Engineer on Issue Reports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FF6FF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left w:val="single" w:sz="16" w:space="0" w:color="2563EB"/>
              <w:top w:val="single" w:sz="4" w:space="0" w:color="BFDBFE"/>
              <w:right w:val="single" w:sz="4" w:space="0" w:color="BFDBFE"/>
              <w:bottom w:val="single" w:sz="4" w:space="0" w:color="BFDBFE"/>
            </w:tcBorders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1E40AF"/>
                <w:sz w:val="19"/>
              </w:rPr>
              <w:t>Submission of Issue Report for Pending Issues</w:t>
            </w:r>
          </w:p>
          <w:p>
            <w:pPr>
              <w:spacing w:after="100"/>
            </w:pPr>
            <w:r>
              <w:rPr>
                <w:rFonts w:ascii="Segoe UI" w:hAnsi="Segoe UI"/>
                <w:color w:val="1E293B"/>
                <w:sz w:val="17"/>
              </w:rPr>
              <w:t>When an issue exceeds 24 hours, the Executive Engineer must submit an issue report. Field remarks are not added directly to the dashboard table; they must be submitted on the dedicated Issue Reports page.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1E293B"/>
                <w:sz w:val="17"/>
              </w:rPr>
              <w:t>How to submit the report:</w:t>
            </w:r>
          </w:p>
          <w:p>
            <w:pPr>
              <w:spacing w:before="20" w:after="30"/>
            </w:pPr>
            <w:r>
              <w:rPr>
                <w:rFonts w:ascii="Segoe UI" w:hAnsi="Segoe UI"/>
                <w:color w:val="1E293B"/>
                <w:sz w:val="16"/>
              </w:rPr>
              <w:t>1. Go to the Issue Reporting page in the dashboard navigation (/helpdesk/issue-reporting).</w:t>
            </w:r>
          </w:p>
          <w:p>
            <w:pPr>
              <w:spacing w:before="20" w:after="30"/>
            </w:pPr>
            <w:r>
              <w:rPr>
                <w:rFonts w:ascii="Segoe UI" w:hAnsi="Segoe UI"/>
                <w:color w:val="1E293B"/>
                <w:sz w:val="16"/>
              </w:rPr>
              <w:t>2. Select the Scheme ID, Village, and ESR that has the pending issue.</w:t>
            </w:r>
          </w:p>
          <w:p>
            <w:pPr>
              <w:spacing w:before="20" w:after="30"/>
            </w:pPr>
            <w:r>
              <w:rPr>
                <w:rFonts w:ascii="Segoe UI" w:hAnsi="Segoe UI"/>
                <w:color w:val="1E293B"/>
                <w:sz w:val="16"/>
              </w:rPr>
              <w:t>3. Select the Root Cause of the issue: Pipeline burst, Pump breakdown, Power failure (MSEDCL), Valve malfunction, Bleaching shortage, or Sensor calibration.</w:t>
            </w:r>
          </w:p>
          <w:p>
            <w:pPr>
              <w:spacing w:before="20" w:after="30"/>
            </w:pPr>
            <w:r>
              <w:rPr>
                <w:rFonts w:ascii="Segoe UI" w:hAnsi="Segoe UI"/>
                <w:color w:val="1E293B"/>
                <w:sz w:val="16"/>
              </w:rPr>
              <w:t>4. Enter the Action Taken (e.g. repair team dispatched, spare parts ordered, emergency tanker arranged).</w:t>
            </w:r>
          </w:p>
          <w:p>
            <w:pPr>
              <w:spacing w:before="20" w:after="30"/>
            </w:pPr>
            <w:r>
              <w:rPr>
                <w:rFonts w:ascii="Segoe UI" w:hAnsi="Segoe UI"/>
                <w:color w:val="1E293B"/>
                <w:sz w:val="16"/>
              </w:rPr>
              <w:t>5. Enter the Expected Resolution Date when normal supply will be restored.</w:t>
            </w:r>
          </w:p>
          <w:p>
            <w:pPr>
              <w:spacing w:before="20" w:after="30"/>
            </w:pPr>
            <w:r>
              <w:rPr>
                <w:rFonts w:ascii="Segoe UI" w:hAnsi="Segoe UI"/>
                <w:color w:val="1E293B"/>
                <w:sz w:val="16"/>
              </w:rPr>
              <w:t>6. Click Submit Issue Report. The report is saved to the central database record.</w:t>
            </w:r>
          </w:p>
        </w:tc>
      </w:tr>
    </w:tbl>
    <w:p>
      <w:pPr>
        <w:spacing w:before="120" w:after="80"/>
      </w:pPr>
      <w:r>
        <w:rPr>
          <w:rFonts w:ascii="Segoe UI" w:hAnsi="Segoe UI"/>
          <w:b/>
          <w:color w:val="0B3558"/>
          <w:sz w:val="22"/>
        </w:rPr>
        <w:t>7. How Issues are Resolved and Closed</w:t>
      </w:r>
    </w:p>
    <w:p>
      <w:pPr>
        <w:spacing w:before="40" w:after="40"/>
      </w:pPr>
      <w:r>
        <w:rPr>
          <w:rFonts w:ascii="Segoe UI" w:hAnsi="Segoe UI"/>
          <w:color w:val="1E293B"/>
          <w:sz w:val="17"/>
        </w:rPr>
        <w:t xml:space="preserve">• </w:t>
      </w:r>
      <w:r>
        <w:rPr>
          <w:rFonts w:ascii="Segoe UI" w:hAnsi="Segoe UI"/>
          <w:b/>
          <w:color w:val="1E293B"/>
          <w:sz w:val="17"/>
        </w:rPr>
        <w:t xml:space="preserve">Automatic Telemetry Resolution: </w:t>
      </w:r>
      <w:r>
        <w:rPr>
          <w:rFonts w:ascii="Segoe UI" w:hAnsi="Segoe UI"/>
          <w:color w:val="1E293B"/>
          <w:sz w:val="17"/>
        </w:rPr>
        <w:t>Issues cannot be manually marked as resolved by clicking a button. The system only marks an issue as Resolved when fresh sensor data meets normal standards at 11:00 AM IST:</w:t>
      </w:r>
    </w:p>
    <w:p>
      <w:pPr>
        <w:spacing w:before="0" w:after="20"/>
        <w:ind w:left="360"/>
      </w:pPr>
      <w:r>
        <w:rPr>
          <w:rFonts w:ascii="Segoe UI" w:hAnsi="Segoe UI"/>
          <w:color w:val="1E293B"/>
          <w:sz w:val="17"/>
        </w:rPr>
        <w:t>1. LPCD is 55 or higher</w:t>
      </w:r>
    </w:p>
    <w:p>
      <w:pPr>
        <w:spacing w:before="0" w:after="20"/>
        <w:ind w:left="360"/>
      </w:pPr>
      <w:r>
        <w:rPr>
          <w:rFonts w:ascii="Segoe UI" w:hAnsi="Segoe UI"/>
          <w:color w:val="1E293B"/>
          <w:sz w:val="17"/>
        </w:rPr>
        <w:t>2. Pressure is between 0.20 and 1.20 bar</w:t>
      </w:r>
    </w:p>
    <w:p>
      <w:pPr>
        <w:spacing w:before="0" w:after="20"/>
        <w:ind w:left="360"/>
      </w:pPr>
      <w:r>
        <w:rPr>
          <w:rFonts w:ascii="Segoe UI" w:hAnsi="Segoe UI"/>
          <w:color w:val="1E293B"/>
          <w:sz w:val="17"/>
        </w:rPr>
        <w:t>3. Chlorine is between 0.20 and 0.50 mg/L</w:t>
      </w:r>
    </w:p>
    <w:p>
      <w:pPr>
        <w:spacing w:before="40" w:after="80"/>
      </w:pPr>
      <w:r>
        <w:rPr>
          <w:rFonts w:ascii="Segoe UI" w:hAnsi="Segoe UI"/>
          <w:color w:val="1E293B"/>
          <w:sz w:val="17"/>
        </w:rPr>
        <w:t xml:space="preserve">• </w:t>
      </w:r>
      <w:r>
        <w:rPr>
          <w:rFonts w:ascii="Segoe UI" w:hAnsi="Segoe UI"/>
          <w:b/>
          <w:color w:val="1E293B"/>
          <w:sz w:val="17"/>
        </w:rPr>
        <w:t xml:space="preserve">Automatic Escalation Stop: </w:t>
      </w:r>
      <w:r>
        <w:rPr>
          <w:rFonts w:ascii="Segoe UI" w:hAnsi="Segoe UI"/>
          <w:color w:val="1E293B"/>
          <w:sz w:val="17"/>
        </w:rPr>
        <w:t>Once the system verifies normal data, it moves the item to the resolved list and stops sending further SMS and email escalations to the Executive Engineer.</w:t>
      </w:r>
    </w:p>
    <w:p>
      <w:pPr>
        <w:spacing w:before="240"/>
      </w:pPr>
      <w:r>
        <w:rPr>
          <w:rFonts w:ascii="Segoe UI" w:hAnsi="Segoe UI"/>
          <w:color w:val="64748B"/>
          <w:sz w:val="15"/>
        </w:rPr>
        <w:t>Water Supply Telemetry Monitoring System  |  Standard Operating Procedure — Version 2.3  |  October 2026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