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Balance Sheet as at 31 March 2025</w:t>
      </w:r>
    </w:p>
    <w:p>
      <w:r>
        <w:t xml:space="preserve">Share Capital    200    200</w:t>
      </w:r>
    </w:p>
    <w:p>
      <w:r>
        <w:t xml:space="preserve">Reserves and Surplus    350    300</w:t>
      </w:r>
    </w:p>
    <w:p>
      <w:r>
        <w:t xml:space="preserve">Total Shareholders Funds    550    500</w:t>
      </w:r>
    </w:p>
    <w:p>
      <w:r>
        <w:t xml:space="preserve">Term Loans from Banks    400    450</w:t>
      </w:r>
    </w:p>
    <w:p>
      <w:r>
        <w:t xml:space="preserve">Cash Credit from Bank    300    250</w:t>
      </w:r>
    </w:p>
    <w:p>
      <w:r>
        <w:t xml:space="preserve">Sundry Creditors    180    150</w:t>
      </w:r>
    </w:p>
    <w:p>
      <w:r>
        <w:t xml:space="preserve">Other Current Liabilities and Provisions    70    50</w:t>
      </w:r>
    </w:p>
    <w:p>
      <w:r>
        <w:t xml:space="preserve">Total Liabilities    1500    1400</w:t>
      </w:r>
    </w:p>
    <w:p>
      <w:r>
        <w:t xml:space="preserve">Fixed Assets (Net Block)    800    750</w:t>
      </w:r>
    </w:p>
    <w:p>
      <w:r>
        <w:t xml:space="preserve">Inventory    350    320</w:t>
      </w:r>
    </w:p>
    <w:p>
      <w:r>
        <w:t xml:space="preserve">Sundry Debtors    250    230</w:t>
      </w:r>
    </w:p>
    <w:p>
      <w:r>
        <w:t xml:space="preserve">Cash and Bank Balances    60    70</w:t>
      </w:r>
    </w:p>
    <w:p>
      <w:r>
        <w:t xml:space="preserve">Loans and Advances    40    30</w:t>
      </w:r>
    </w:p>
    <w:p>
      <w:r>
        <w:t xml:space="preserve">Total Assets    1500    1400</w:t>
      </w:r>
    </w:p>
  </w:body>
</w:document>
</file>