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tbl>
      <w:tblPr>
        <w:tblpPr w:leftFromText="180" w:rightFromText="180" w:vertAnchor="text" w:horzAnchor="page" w:tblpX="2733" w:tblpY="91"/>
        <w:tblW w:w="2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tblGrid>
      <w:tr w:rsidR="00BC259D" w:rsidRPr="00BC259D" w:rsidTr="00BC259D">
        <w:trPr>
          <w:trHeight w:val="290"/>
        </w:trPr>
        <w:tc>
          <w:tcPr>
            <w:tcW w:w="960" w:type="dxa"/>
            <w:shd w:val="clear" w:color="auto" w:fill="auto"/>
            <w:noWrap/>
            <w:vAlign w:val="bottom"/>
            <w:hideMark/>
          </w:tcPr>
          <w:p w:rsidR="00BC259D" w:rsidRPr="00BC259D" w:rsidRDefault="00BC259D" w:rsidP="00BC259D">
            <w:pPr>
              <w:spacing w:after="0" w:line="240" w:lineRule="auto"/>
              <w:rPr>
                <w:rFonts w:ascii="Times New Roman" w:eastAsia="Times New Roman" w:hAnsi="Times New Roman" w:cs="Times New Roman"/>
                <w:color w:val="00B0F0"/>
                <w:sz w:val="24"/>
                <w:szCs w:val="24"/>
                <w:lang w:val="en-IN" w:eastAsia="en-IN"/>
              </w:rPr>
            </w:pPr>
            <m:oMathPara>
              <m:oMath>
                <m:r>
                  <w:rPr>
                    <w:rFonts w:ascii="Cambria Math" w:hAnsi="Cambria Math"/>
                    <w:color w:val="00B0F0"/>
                  </w:rPr>
                  <m:t>μ</m:t>
                </m:r>
              </m:oMath>
            </m:oMathPara>
          </w:p>
        </w:tc>
        <w:tc>
          <w:tcPr>
            <w:tcW w:w="1053" w:type="dxa"/>
            <w:shd w:val="clear" w:color="auto" w:fill="auto"/>
            <w:noWrap/>
            <w:vAlign w:val="bottom"/>
            <w:hideMark/>
          </w:tcPr>
          <w:p w:rsidR="00BC259D" w:rsidRPr="00BC259D" w:rsidRDefault="00BC259D" w:rsidP="00BC259D">
            <w:pPr>
              <w:spacing w:after="0" w:line="240" w:lineRule="auto"/>
              <w:jc w:val="right"/>
              <w:rPr>
                <w:rFonts w:ascii="Calibri" w:eastAsia="Times New Roman" w:hAnsi="Calibri" w:cs="Calibri"/>
                <w:color w:val="00B0F0"/>
                <w:lang w:val="en-IN" w:eastAsia="en-IN"/>
              </w:rPr>
            </w:pPr>
            <w:r w:rsidRPr="00BC259D">
              <w:rPr>
                <w:rFonts w:ascii="Calibri" w:eastAsia="Times New Roman" w:hAnsi="Calibri" w:cs="Calibri"/>
                <w:color w:val="00B0F0"/>
                <w:lang w:val="en-IN" w:eastAsia="en-IN"/>
              </w:rPr>
              <w:t>0.332713</w:t>
            </w:r>
          </w:p>
        </w:tc>
      </w:tr>
      <w:tr w:rsidR="00BC259D" w:rsidRPr="00BC259D" w:rsidTr="00BC259D">
        <w:trPr>
          <w:trHeight w:val="290"/>
        </w:trPr>
        <w:tc>
          <w:tcPr>
            <w:tcW w:w="960" w:type="dxa"/>
            <w:shd w:val="clear" w:color="auto" w:fill="auto"/>
            <w:noWrap/>
            <w:vAlign w:val="bottom"/>
            <w:hideMark/>
          </w:tcPr>
          <w:p w:rsidR="00BC259D" w:rsidRPr="00BC259D" w:rsidRDefault="00BC259D" w:rsidP="00BC259D">
            <w:pPr>
              <w:spacing w:after="0" w:line="240" w:lineRule="auto"/>
              <w:jc w:val="right"/>
              <w:rPr>
                <w:rFonts w:ascii="Calibri" w:eastAsia="Times New Roman" w:hAnsi="Calibri" w:cs="Calibri"/>
                <w:color w:val="00B0F0"/>
                <w:lang w:val="en-IN" w:eastAsia="en-IN"/>
              </w:rPr>
            </w:pPr>
            <m:oMathPara>
              <m:oMath>
                <m:r>
                  <w:rPr>
                    <w:rFonts w:ascii="Cambria Math" w:hAnsi="Cambria Math"/>
                    <w:color w:val="00B0F0"/>
                  </w:rPr>
                  <m:t>σ</m:t>
                </m:r>
              </m:oMath>
            </m:oMathPara>
          </w:p>
        </w:tc>
        <w:tc>
          <w:tcPr>
            <w:tcW w:w="1053" w:type="dxa"/>
            <w:shd w:val="clear" w:color="auto" w:fill="auto"/>
            <w:noWrap/>
            <w:vAlign w:val="bottom"/>
            <w:hideMark/>
          </w:tcPr>
          <w:p w:rsidR="00BC259D" w:rsidRPr="00BC259D" w:rsidRDefault="00BC259D" w:rsidP="00BC259D">
            <w:pPr>
              <w:spacing w:after="0" w:line="240" w:lineRule="auto"/>
              <w:jc w:val="right"/>
              <w:rPr>
                <w:rFonts w:ascii="Calibri" w:eastAsia="Times New Roman" w:hAnsi="Calibri" w:cs="Calibri"/>
                <w:color w:val="00B0F0"/>
                <w:lang w:val="en-IN" w:eastAsia="en-IN"/>
              </w:rPr>
            </w:pPr>
            <w:r w:rsidRPr="00BC259D">
              <w:rPr>
                <w:rFonts w:ascii="Calibri" w:eastAsia="Times New Roman" w:hAnsi="Calibri" w:cs="Calibri"/>
                <w:color w:val="00B0F0"/>
                <w:lang w:val="en-IN" w:eastAsia="en-IN"/>
              </w:rPr>
              <w:t>0.169454</w:t>
            </w:r>
          </w:p>
        </w:tc>
      </w:tr>
      <w:tr w:rsidR="00BC259D" w:rsidRPr="00BC259D" w:rsidTr="00BC259D">
        <w:trPr>
          <w:trHeight w:val="290"/>
        </w:trPr>
        <w:tc>
          <w:tcPr>
            <w:tcW w:w="960" w:type="dxa"/>
            <w:shd w:val="clear" w:color="auto" w:fill="auto"/>
            <w:noWrap/>
            <w:vAlign w:val="bottom"/>
            <w:hideMark/>
          </w:tcPr>
          <w:p w:rsidR="00BC259D" w:rsidRPr="00BC259D" w:rsidRDefault="00000000" w:rsidP="00BC259D">
            <w:pPr>
              <w:spacing w:after="0" w:line="240" w:lineRule="auto"/>
              <w:jc w:val="right"/>
              <w:rPr>
                <w:rFonts w:ascii="Calibri" w:eastAsia="Times New Roman" w:hAnsi="Calibri" w:cs="Calibri"/>
                <w:color w:val="00B0F0"/>
                <w:lang w:val="en-IN" w:eastAsia="en-IN"/>
              </w:rPr>
            </w:pPr>
            <m:oMathPara>
              <m:oMath>
                <m:sSup>
                  <m:sSupPr>
                    <m:ctrlPr>
                      <w:rPr>
                        <w:rFonts w:ascii="Cambria Math" w:hAnsi="Cambria Math"/>
                        <w:i/>
                        <w:color w:val="00B0F0"/>
                      </w:rPr>
                    </m:ctrlPr>
                  </m:sSupPr>
                  <m:e>
                    <m:r>
                      <w:rPr>
                        <w:rFonts w:ascii="Cambria Math" w:hAnsi="Cambria Math"/>
                        <w:color w:val="00B0F0"/>
                      </w:rPr>
                      <m:t>σ</m:t>
                    </m:r>
                  </m:e>
                  <m:sup>
                    <m:r>
                      <w:rPr>
                        <w:rFonts w:ascii="Cambria Math" w:hAnsi="Cambria Math"/>
                        <w:color w:val="00B0F0"/>
                      </w:rPr>
                      <m:t>2</m:t>
                    </m:r>
                  </m:sup>
                </m:sSup>
              </m:oMath>
            </m:oMathPara>
          </w:p>
        </w:tc>
        <w:tc>
          <w:tcPr>
            <w:tcW w:w="1053" w:type="dxa"/>
            <w:shd w:val="clear" w:color="auto" w:fill="auto"/>
            <w:noWrap/>
            <w:vAlign w:val="bottom"/>
            <w:hideMark/>
          </w:tcPr>
          <w:p w:rsidR="00BC259D" w:rsidRPr="00BC259D" w:rsidRDefault="00BC259D" w:rsidP="00BC259D">
            <w:pPr>
              <w:spacing w:after="0" w:line="240" w:lineRule="auto"/>
              <w:jc w:val="right"/>
              <w:rPr>
                <w:rFonts w:ascii="Calibri" w:eastAsia="Times New Roman" w:hAnsi="Calibri" w:cs="Calibri"/>
                <w:color w:val="00B0F0"/>
                <w:lang w:val="en-IN" w:eastAsia="en-IN"/>
              </w:rPr>
            </w:pPr>
            <w:r w:rsidRPr="00BC259D">
              <w:rPr>
                <w:rFonts w:ascii="Calibri" w:eastAsia="Times New Roman" w:hAnsi="Calibri" w:cs="Calibri"/>
                <w:color w:val="00B0F0"/>
                <w:lang w:val="en-IN" w:eastAsia="en-IN"/>
              </w:rPr>
              <w:t>0.028715</w:t>
            </w:r>
          </w:p>
        </w:tc>
      </w:tr>
      <w:tr w:rsidR="00BC259D" w:rsidRPr="00BC259D" w:rsidTr="00BC259D">
        <w:trPr>
          <w:trHeight w:val="290"/>
        </w:trPr>
        <w:tc>
          <w:tcPr>
            <w:tcW w:w="960" w:type="dxa"/>
            <w:shd w:val="clear" w:color="auto" w:fill="auto"/>
            <w:noWrap/>
            <w:vAlign w:val="bottom"/>
            <w:hideMark/>
          </w:tcPr>
          <w:p w:rsidR="00BC259D" w:rsidRPr="00BC259D" w:rsidRDefault="00BC259D" w:rsidP="00BC259D">
            <w:pPr>
              <w:spacing w:after="0" w:line="240" w:lineRule="auto"/>
              <w:jc w:val="right"/>
              <w:rPr>
                <w:rFonts w:ascii="Calibri" w:eastAsia="Times New Roman" w:hAnsi="Calibri" w:cs="Calibri"/>
                <w:color w:val="00B0F0"/>
                <w:lang w:val="en-IN" w:eastAsia="en-IN"/>
              </w:rPr>
            </w:pPr>
            <w:r w:rsidRPr="00BC259D">
              <w:rPr>
                <w:rFonts w:ascii="Calibri" w:eastAsia="Times New Roman" w:hAnsi="Calibri" w:cs="Calibri"/>
                <w:color w:val="00B0F0"/>
                <w:lang w:val="en-IN" w:eastAsia="en-IN"/>
              </w:rPr>
              <w:t>Outlier</w:t>
            </w:r>
          </w:p>
        </w:tc>
        <w:tc>
          <w:tcPr>
            <w:tcW w:w="1053" w:type="dxa"/>
            <w:shd w:val="clear" w:color="auto" w:fill="auto"/>
            <w:noWrap/>
            <w:vAlign w:val="bottom"/>
            <w:hideMark/>
          </w:tcPr>
          <w:p w:rsidR="00BC259D" w:rsidRPr="00BC259D" w:rsidRDefault="00BC259D" w:rsidP="00BC259D">
            <w:pPr>
              <w:spacing w:after="0" w:line="240" w:lineRule="auto"/>
              <w:rPr>
                <w:rFonts w:ascii="Times New Roman" w:eastAsia="Times New Roman" w:hAnsi="Times New Roman" w:cs="Times New Roman"/>
                <w:color w:val="00B0F0"/>
                <w:sz w:val="20"/>
                <w:szCs w:val="20"/>
                <w:lang w:val="en-IN" w:eastAsia="en-IN"/>
              </w:rPr>
            </w:pPr>
            <w:r w:rsidRPr="00BC259D">
              <w:rPr>
                <w:rFonts w:eastAsia="Times New Roman" w:cs="Times New Roman"/>
                <w:color w:val="00B0F0"/>
              </w:rPr>
              <w:t>91.36%</w:t>
            </w:r>
          </w:p>
        </w:tc>
      </w:tr>
    </w:tbl>
    <w:p w:rsidR="00BC259D" w:rsidRPr="00BC259D" w:rsidRDefault="00BC259D" w:rsidP="00BC259D">
      <w:pPr>
        <w:autoSpaceDE w:val="0"/>
        <w:autoSpaceDN w:val="0"/>
        <w:adjustRightInd w:val="0"/>
        <w:spacing w:after="0"/>
        <w:rPr>
          <w:color w:val="00B0F0"/>
        </w:rPr>
      </w:pPr>
      <w:r w:rsidRPr="00BC259D">
        <w:rPr>
          <w:color w:val="00B0F0"/>
        </w:rPr>
        <w:t xml:space="preserve">Ans: </w:t>
      </w:r>
    </w:p>
    <w:p w:rsidR="000E22B2" w:rsidRPr="00BC259D" w:rsidRDefault="000E22B2" w:rsidP="00BC259D">
      <w:pPr>
        <w:autoSpaceDE w:val="0"/>
        <w:autoSpaceDN w:val="0"/>
        <w:adjustRightInd w:val="0"/>
        <w:spacing w:after="0"/>
        <w:rPr>
          <w:color w:val="00B0F0"/>
        </w:rPr>
      </w:pPr>
    </w:p>
    <w:p w:rsidR="000E22B2" w:rsidRDefault="000E22B2" w:rsidP="00BC259D">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rsidR="002664C5" w:rsidRDefault="002664C5" w:rsidP="002664C5">
      <w:pPr>
        <w:pStyle w:val="ListParagraph"/>
        <w:autoSpaceDE w:val="0"/>
        <w:autoSpaceDN w:val="0"/>
        <w:adjustRightInd w:val="0"/>
        <w:spacing w:after="0"/>
        <w:ind w:left="1440"/>
        <w:rPr>
          <w:color w:val="00B0F0"/>
        </w:rPr>
      </w:pPr>
      <w:r>
        <w:rPr>
          <w:color w:val="00B0F0"/>
        </w:rPr>
        <w:lastRenderedPageBreak/>
        <w:t>Sol</w:t>
      </w:r>
      <w:r w:rsidRPr="002664C5">
        <w:rPr>
          <w:color w:val="00B0F0"/>
        </w:rPr>
        <w:t>:</w:t>
      </w:r>
      <w:r>
        <w:rPr>
          <w:color w:val="00B0F0"/>
        </w:rPr>
        <w:t xml:space="preserve"> Given,</w:t>
      </w:r>
    </w:p>
    <w:p w:rsidR="002664C5" w:rsidRDefault="002664C5" w:rsidP="002664C5">
      <w:pPr>
        <w:pStyle w:val="ListParagraph"/>
        <w:autoSpaceDE w:val="0"/>
        <w:autoSpaceDN w:val="0"/>
        <w:adjustRightInd w:val="0"/>
        <w:spacing w:after="0"/>
        <w:ind w:left="1440" w:firstLine="720"/>
        <w:rPr>
          <w:color w:val="00B0F0"/>
        </w:rPr>
      </w:pPr>
      <w:r>
        <w:rPr>
          <w:color w:val="00B0F0"/>
        </w:rPr>
        <w:t>Q3= 12.5,</w:t>
      </w:r>
    </w:p>
    <w:p w:rsidR="002664C5" w:rsidRDefault="002664C5" w:rsidP="002664C5">
      <w:pPr>
        <w:pStyle w:val="ListParagraph"/>
        <w:autoSpaceDE w:val="0"/>
        <w:autoSpaceDN w:val="0"/>
        <w:adjustRightInd w:val="0"/>
        <w:spacing w:after="0"/>
        <w:ind w:left="1440" w:firstLine="720"/>
        <w:rPr>
          <w:color w:val="00B0F0"/>
        </w:rPr>
      </w:pPr>
      <w:r>
        <w:rPr>
          <w:color w:val="00B0F0"/>
        </w:rPr>
        <w:t>Q1 = 5</w:t>
      </w:r>
    </w:p>
    <w:p w:rsidR="002664C5" w:rsidRDefault="002664C5" w:rsidP="002664C5">
      <w:pPr>
        <w:pStyle w:val="ListParagraph"/>
        <w:autoSpaceDE w:val="0"/>
        <w:autoSpaceDN w:val="0"/>
        <w:adjustRightInd w:val="0"/>
        <w:spacing w:after="0"/>
        <w:ind w:left="1440" w:firstLine="720"/>
        <w:rPr>
          <w:color w:val="00B0F0"/>
        </w:rPr>
      </w:pPr>
      <w:r>
        <w:rPr>
          <w:color w:val="00B0F0"/>
        </w:rPr>
        <w:t>&amp;</w:t>
      </w:r>
      <w:r w:rsidRPr="002664C5">
        <w:rPr>
          <w:color w:val="00B0F0"/>
        </w:rPr>
        <w:t xml:space="preserve"> </w:t>
      </w:r>
      <w:r>
        <w:rPr>
          <w:color w:val="00B0F0"/>
        </w:rPr>
        <w:t xml:space="preserve">IQR = Q3 – Q1 </w:t>
      </w:r>
    </w:p>
    <w:p w:rsidR="002664C5" w:rsidRPr="002664C5" w:rsidRDefault="002664C5" w:rsidP="002664C5">
      <w:pPr>
        <w:pStyle w:val="ListParagraph"/>
        <w:autoSpaceDE w:val="0"/>
        <w:autoSpaceDN w:val="0"/>
        <w:adjustRightInd w:val="0"/>
        <w:spacing w:after="0"/>
        <w:ind w:left="1440"/>
        <w:rPr>
          <w:color w:val="00B0F0"/>
        </w:rPr>
      </w:pPr>
      <w:r>
        <w:rPr>
          <w:color w:val="00B0F0"/>
        </w:rPr>
        <w:tab/>
        <w:t>So, IQR = 12.5 – 5 = 7.5</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F55E46" w:rsidRPr="003C0AC9" w:rsidRDefault="00F55E46" w:rsidP="003C0AC9">
      <w:pPr>
        <w:autoSpaceDE w:val="0"/>
        <w:autoSpaceDN w:val="0"/>
        <w:adjustRightInd w:val="0"/>
        <w:spacing w:after="0"/>
        <w:ind w:left="720"/>
        <w:rPr>
          <w:color w:val="00B0F0"/>
        </w:rPr>
      </w:pPr>
      <w:r w:rsidRPr="003C0AC9">
        <w:rPr>
          <w:color w:val="00B0F0"/>
        </w:rPr>
        <w:t>Ans: It is right skewed and hence it is positively 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3C0AC9" w:rsidRPr="003C0AC9" w:rsidRDefault="003C0AC9" w:rsidP="003C0AC9">
      <w:pPr>
        <w:autoSpaceDE w:val="0"/>
        <w:autoSpaceDN w:val="0"/>
        <w:adjustRightInd w:val="0"/>
        <w:spacing w:after="0"/>
        <w:ind w:left="720"/>
        <w:rPr>
          <w:color w:val="00B0F0"/>
        </w:rPr>
      </w:pPr>
      <w:r w:rsidRPr="003C0AC9">
        <w:rPr>
          <w:color w:val="00B0F0"/>
        </w:rPr>
        <w:t xml:space="preserve">Ans: </w:t>
      </w:r>
      <w:r>
        <w:rPr>
          <w:color w:val="00B0F0"/>
        </w:rPr>
        <w:t xml:space="preserve">If only the value of datapoint 25 changes into 2.5 then there would be no effect on boxplot, all will remain as it is only there would be data point where we can show the outlier which is present on 25.  </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3C0AC9" w:rsidRPr="003C0AC9" w:rsidRDefault="003C0AC9" w:rsidP="003C0AC9">
      <w:pPr>
        <w:autoSpaceDE w:val="0"/>
        <w:autoSpaceDN w:val="0"/>
        <w:adjustRightInd w:val="0"/>
        <w:spacing w:after="0"/>
        <w:ind w:left="720"/>
        <w:rPr>
          <w:color w:val="00B0F0"/>
        </w:rPr>
      </w:pPr>
      <w:r>
        <w:rPr>
          <w:color w:val="00B0F0"/>
        </w:rPr>
        <w:t xml:space="preserve">   Ans: </w:t>
      </w:r>
      <w:r w:rsidRPr="003C0AC9">
        <w:rPr>
          <w:color w:val="00B0F0"/>
        </w:rPr>
        <w:t>The mode of the dataset is between 5 to 10</w:t>
      </w:r>
    </w:p>
    <w:p w:rsidR="003C0AC9"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Pr="003C0AC9" w:rsidRDefault="003C0AC9" w:rsidP="003C0AC9">
      <w:pPr>
        <w:autoSpaceDE w:val="0"/>
        <w:autoSpaceDN w:val="0"/>
        <w:adjustRightInd w:val="0"/>
        <w:spacing w:after="0"/>
        <w:ind w:left="720"/>
        <w:rPr>
          <w:color w:val="00B0F0"/>
        </w:rPr>
      </w:pPr>
      <w:r w:rsidRPr="003C0AC9">
        <w:rPr>
          <w:color w:val="00B0F0"/>
        </w:rPr>
        <w:t xml:space="preserve">Ans: Positive or Right Skewed. </w:t>
      </w:r>
      <w:r w:rsidR="000E22B2" w:rsidRPr="003C0AC9">
        <w:rPr>
          <w:color w:val="00B0F0"/>
        </w:rP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FD1D81" w:rsidRPr="00FD1D81" w:rsidRDefault="00FD1D81" w:rsidP="00FD1D81">
      <w:pPr>
        <w:autoSpaceDE w:val="0"/>
        <w:autoSpaceDN w:val="0"/>
        <w:adjustRightInd w:val="0"/>
        <w:spacing w:after="0"/>
        <w:ind w:left="720"/>
        <w:rPr>
          <w:color w:val="00B0F0"/>
        </w:rPr>
      </w:pPr>
      <w:r w:rsidRPr="00FD1D81">
        <w:rPr>
          <w:color w:val="00B0F0"/>
        </w:rPr>
        <w:lastRenderedPageBreak/>
        <w:t xml:space="preserve">Ans: The outlier for both the boxplot and histogram is same and </w:t>
      </w:r>
      <w:r>
        <w:rPr>
          <w:color w:val="00B0F0"/>
        </w:rPr>
        <w:t>b</w:t>
      </w:r>
      <w:r w:rsidRPr="00FD1D81">
        <w:rPr>
          <w:color w:val="00B0F0"/>
        </w:rPr>
        <w:t>o</w:t>
      </w:r>
      <w:r>
        <w:rPr>
          <w:color w:val="00B0F0"/>
        </w:rPr>
        <w:t>th</w:t>
      </w:r>
      <w:r w:rsidRPr="00FD1D81">
        <w:rPr>
          <w:color w:val="00B0F0"/>
        </w:rPr>
        <w:t xml:space="preserve"> are right or positive skewed. </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953AAC"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F75C3C" w:rsidRDefault="00953AAC" w:rsidP="00953AAC">
      <w:pPr>
        <w:autoSpaceDE w:val="0"/>
        <w:autoSpaceDN w:val="0"/>
        <w:adjustRightInd w:val="0"/>
        <w:spacing w:after="0"/>
        <w:ind w:left="360"/>
        <w:rPr>
          <w:color w:val="00B0F0"/>
        </w:rPr>
      </w:pPr>
      <w:r w:rsidRPr="00953AAC">
        <w:rPr>
          <w:color w:val="00B0F0"/>
        </w:rPr>
        <w:t xml:space="preserve">Sol: </w:t>
      </w:r>
      <w:r w:rsidR="00F75C3C">
        <w:rPr>
          <w:color w:val="00B0F0"/>
        </w:rPr>
        <w:t>Given,</w:t>
      </w:r>
    </w:p>
    <w:p w:rsidR="00953AAC" w:rsidRDefault="00F75C3C" w:rsidP="00953AAC">
      <w:pPr>
        <w:autoSpaceDE w:val="0"/>
        <w:autoSpaceDN w:val="0"/>
        <w:adjustRightInd w:val="0"/>
        <w:spacing w:after="0"/>
        <w:ind w:left="360"/>
        <w:rPr>
          <w:color w:val="00B0F0"/>
        </w:rPr>
      </w:pPr>
      <w:r>
        <w:rPr>
          <w:color w:val="00B0F0"/>
        </w:rPr>
        <w:t xml:space="preserve">       </w:t>
      </w:r>
      <w:r w:rsidR="00953AAC">
        <w:rPr>
          <w:color w:val="00B0F0"/>
        </w:rPr>
        <w:t xml:space="preserve">1 in 200 telephone calls is misdirected. </w:t>
      </w:r>
    </w:p>
    <w:p w:rsidR="00953AAC" w:rsidRDefault="00953AAC" w:rsidP="00953AAC">
      <w:pPr>
        <w:autoSpaceDE w:val="0"/>
        <w:autoSpaceDN w:val="0"/>
        <w:adjustRightInd w:val="0"/>
        <w:spacing w:after="0"/>
        <w:ind w:left="360"/>
        <w:rPr>
          <w:color w:val="00B0F0"/>
        </w:rPr>
      </w:pPr>
      <w:r>
        <w:rPr>
          <w:color w:val="00B0F0"/>
        </w:rPr>
        <w:t xml:space="preserve">       </w:t>
      </w:r>
      <w:r w:rsidR="00F75C3C">
        <w:rPr>
          <w:color w:val="00B0F0"/>
        </w:rPr>
        <w:t>Let’s</w:t>
      </w:r>
      <w:r>
        <w:rPr>
          <w:color w:val="00B0F0"/>
        </w:rPr>
        <w:t xml:space="preserve"> x is </w:t>
      </w:r>
      <w:r w:rsidR="00F75C3C">
        <w:rPr>
          <w:color w:val="00B0F0"/>
        </w:rPr>
        <w:t>the probability for 1 call which is misdirected out of 200</w:t>
      </w:r>
    </w:p>
    <w:p w:rsidR="00F75C3C" w:rsidRDefault="00F75C3C" w:rsidP="00953AAC">
      <w:pPr>
        <w:autoSpaceDE w:val="0"/>
        <w:autoSpaceDN w:val="0"/>
        <w:adjustRightInd w:val="0"/>
        <w:spacing w:after="0"/>
        <w:ind w:left="360"/>
        <w:rPr>
          <w:color w:val="00B0F0"/>
        </w:rPr>
      </w:pPr>
      <w:r>
        <w:rPr>
          <w:color w:val="00B0F0"/>
        </w:rPr>
        <w:tab/>
        <w:t>X = 1/200</w:t>
      </w:r>
    </w:p>
    <w:p w:rsidR="00F75C3C" w:rsidRPr="00953AAC" w:rsidRDefault="00F75C3C" w:rsidP="00953AAC">
      <w:pPr>
        <w:autoSpaceDE w:val="0"/>
        <w:autoSpaceDN w:val="0"/>
        <w:adjustRightInd w:val="0"/>
        <w:spacing w:after="0"/>
        <w:ind w:left="360"/>
        <w:rPr>
          <w:color w:val="00B0F0"/>
        </w:rPr>
      </w:pPr>
      <w:r>
        <w:rPr>
          <w:color w:val="00B0F0"/>
        </w:rPr>
        <w:tab/>
        <w:t xml:space="preserve">Probability for the calls which are not misdirecting = 1 – 1/200 = 199/200 </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91EE0" w:rsidRPr="00091EE0" w:rsidRDefault="00091EE0" w:rsidP="00091EE0">
      <w:pPr>
        <w:autoSpaceDE w:val="0"/>
        <w:autoSpaceDN w:val="0"/>
        <w:adjustRightInd w:val="0"/>
        <w:spacing w:after="0"/>
        <w:ind w:left="720"/>
        <w:rPr>
          <w:color w:val="00B0F0"/>
        </w:rPr>
      </w:pPr>
      <w:r w:rsidRPr="00091EE0">
        <w:rPr>
          <w:color w:val="00B0F0"/>
        </w:rPr>
        <w:t xml:space="preserve">Ans: 2000 is the </w:t>
      </w:r>
      <w:r w:rsidRPr="00091EE0">
        <w:rPr>
          <w:color w:val="00B0F0"/>
        </w:rPr>
        <w:t xml:space="preserve">most likely monetary outcome </w:t>
      </w:r>
      <w:r w:rsidRPr="00091EE0">
        <w:rPr>
          <w:color w:val="00B0F0"/>
        </w:rPr>
        <w:t>because its probability is high.</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91EE0" w:rsidRPr="00255B69" w:rsidRDefault="00255B69" w:rsidP="00255B69">
      <w:pPr>
        <w:autoSpaceDE w:val="0"/>
        <w:autoSpaceDN w:val="0"/>
        <w:adjustRightInd w:val="0"/>
        <w:spacing w:after="0"/>
        <w:ind w:left="720"/>
        <w:rPr>
          <w:color w:val="00B0F0"/>
        </w:rPr>
      </w:pPr>
      <w:r w:rsidRPr="00255B69">
        <w:rPr>
          <w:color w:val="00B0F0"/>
        </w:rPr>
        <w:t>Ans: Positive Return for Possibility is 0.2 + 0.3 + 0.1 = 0.6</w:t>
      </w:r>
    </w:p>
    <w:p w:rsidR="00255B69" w:rsidRPr="00255B69" w:rsidRDefault="00255B69" w:rsidP="00255B69">
      <w:pPr>
        <w:autoSpaceDE w:val="0"/>
        <w:autoSpaceDN w:val="0"/>
        <w:adjustRightInd w:val="0"/>
        <w:spacing w:after="0"/>
        <w:ind w:left="720"/>
        <w:rPr>
          <w:color w:val="00B0F0"/>
        </w:rPr>
      </w:pPr>
      <w:r w:rsidRPr="00255B69">
        <w:rPr>
          <w:color w:val="00B0F0"/>
        </w:rPr>
        <w:tab/>
        <w:t xml:space="preserve">No return is for 0.2 </w:t>
      </w:r>
    </w:p>
    <w:p w:rsidR="00255B69" w:rsidRPr="00255B69" w:rsidRDefault="00255B69" w:rsidP="00255B69">
      <w:pPr>
        <w:autoSpaceDE w:val="0"/>
        <w:autoSpaceDN w:val="0"/>
        <w:adjustRightInd w:val="0"/>
        <w:spacing w:after="0"/>
        <w:ind w:left="720"/>
        <w:rPr>
          <w:color w:val="00B0F0"/>
        </w:rPr>
      </w:pPr>
      <w:r w:rsidRPr="00255B69">
        <w:rPr>
          <w:color w:val="00B0F0"/>
        </w:rPr>
        <w:tab/>
        <w:t xml:space="preserve">And negative return is for 0.1 + 0.1 = 0.2 </w:t>
      </w:r>
    </w:p>
    <w:p w:rsidR="00255B69" w:rsidRPr="00255B69" w:rsidRDefault="00255B69" w:rsidP="00255B69">
      <w:pPr>
        <w:autoSpaceDE w:val="0"/>
        <w:autoSpaceDN w:val="0"/>
        <w:adjustRightInd w:val="0"/>
        <w:spacing w:after="0"/>
        <w:ind w:left="720"/>
        <w:rPr>
          <w:color w:val="00B0F0"/>
        </w:rPr>
      </w:pPr>
      <w:r w:rsidRPr="00255B69">
        <w:rPr>
          <w:color w:val="00B0F0"/>
        </w:rPr>
        <w:t xml:space="preserve">So positive return is more in comparison to others which is 0.6, that’s the venture is likely to successful. </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8E5B23" w:rsidRPr="008E5B23" w:rsidRDefault="006E187B" w:rsidP="008E5B23">
      <w:pPr>
        <w:autoSpaceDE w:val="0"/>
        <w:autoSpaceDN w:val="0"/>
        <w:adjustRightInd w:val="0"/>
        <w:spacing w:after="0"/>
        <w:ind w:left="720"/>
        <w:rPr>
          <w:color w:val="00B0F0"/>
        </w:rPr>
      </w:pPr>
      <w:r w:rsidRPr="008E5B23">
        <w:rPr>
          <w:color w:val="00B0F0"/>
        </w:rPr>
        <w:t xml:space="preserve">ANS: </w:t>
      </w:r>
      <w:r w:rsidR="008E5B23">
        <w:rPr>
          <w:color w:val="00B0F0"/>
        </w:rPr>
        <w:t xml:space="preserve">  Average = </w:t>
      </w:r>
      <w:r w:rsidRPr="008E5B23">
        <w:rPr>
          <w:color w:val="00B0F0"/>
        </w:rPr>
        <w:t>(-2000*0.</w:t>
      </w:r>
      <w:r w:rsidR="008E5B23" w:rsidRPr="008E5B23">
        <w:rPr>
          <w:color w:val="00B0F0"/>
        </w:rPr>
        <w:t>1) +(</w:t>
      </w:r>
      <w:r w:rsidRPr="008E5B23">
        <w:rPr>
          <w:color w:val="00B0F0"/>
        </w:rPr>
        <w:t>-1000*0.</w:t>
      </w:r>
      <w:r w:rsidR="008E5B23" w:rsidRPr="008E5B23">
        <w:rPr>
          <w:color w:val="00B0F0"/>
        </w:rPr>
        <w:t>1) +(</w:t>
      </w:r>
      <w:r w:rsidRPr="008E5B23">
        <w:rPr>
          <w:color w:val="00B0F0"/>
        </w:rPr>
        <w:t>0*0.</w:t>
      </w:r>
      <w:r w:rsidR="008E5B23" w:rsidRPr="008E5B23">
        <w:rPr>
          <w:color w:val="00B0F0"/>
        </w:rPr>
        <w:t>2) +(</w:t>
      </w:r>
      <w:r w:rsidRPr="008E5B23">
        <w:rPr>
          <w:color w:val="00B0F0"/>
        </w:rPr>
        <w:t>1000*0.</w:t>
      </w:r>
      <w:r w:rsidR="008E5B23" w:rsidRPr="008E5B23">
        <w:rPr>
          <w:color w:val="00B0F0"/>
        </w:rPr>
        <w:t>2) +(</w:t>
      </w:r>
      <w:r w:rsidRPr="008E5B23">
        <w:rPr>
          <w:color w:val="00B0F0"/>
        </w:rPr>
        <w:t>2000 *0.</w:t>
      </w:r>
      <w:r w:rsidR="008E5B23" w:rsidRPr="008E5B23">
        <w:rPr>
          <w:color w:val="00B0F0"/>
        </w:rPr>
        <w:t>3) +(</w:t>
      </w:r>
      <w:r w:rsidRPr="008E5B23">
        <w:rPr>
          <w:color w:val="00B0F0"/>
        </w:rPr>
        <w:t>3000*0.</w:t>
      </w:r>
      <w:r w:rsidR="008E5B23" w:rsidRPr="008E5B23">
        <w:rPr>
          <w:color w:val="00B0F0"/>
        </w:rPr>
        <w:t>1) =</w:t>
      </w:r>
      <w:r w:rsidRPr="008E5B23">
        <w:rPr>
          <w:color w:val="00B0F0"/>
        </w:rPr>
        <w:t>800</w:t>
      </w:r>
    </w:p>
    <w:p w:rsidR="006E187B" w:rsidRPr="008E5B23" w:rsidRDefault="008E5B23" w:rsidP="008E5B23">
      <w:pPr>
        <w:autoSpaceDE w:val="0"/>
        <w:autoSpaceDN w:val="0"/>
        <w:adjustRightInd w:val="0"/>
        <w:spacing w:after="0"/>
        <w:ind w:left="720"/>
        <w:rPr>
          <w:color w:val="00B0F0"/>
        </w:rPr>
      </w:pPr>
      <w:r w:rsidRPr="008E5B23">
        <w:rPr>
          <w:color w:val="00B0F0"/>
        </w:rPr>
        <w:t xml:space="preserve">So, </w:t>
      </w:r>
      <w:r w:rsidR="006E187B" w:rsidRPr="008E5B23">
        <w:rPr>
          <w:color w:val="00B0F0"/>
        </w:rPr>
        <w:t xml:space="preserve">the long-term average earning for </w:t>
      </w:r>
      <w:r w:rsidRPr="008E5B23">
        <w:rPr>
          <w:color w:val="00B0F0"/>
        </w:rPr>
        <w:t>these types of ventures</w:t>
      </w:r>
      <w:r w:rsidR="006E187B" w:rsidRPr="008E5B23">
        <w:rPr>
          <w:color w:val="00B0F0"/>
        </w:rPr>
        <w:t xml:space="preserve"> would be around $800</w:t>
      </w:r>
      <w:r>
        <w:rPr>
          <w:color w:val="00B0F0"/>
        </w:rPr>
        <w:t xml:space="preserve">. </w:t>
      </w:r>
    </w:p>
    <w:p w:rsidR="00255B69" w:rsidRDefault="00255B69" w:rsidP="00255B69">
      <w:pPr>
        <w:autoSpaceDE w:val="0"/>
        <w:autoSpaceDN w:val="0"/>
        <w:adjustRightInd w:val="0"/>
        <w:spacing w:after="0"/>
        <w:ind w:left="720"/>
      </w:pPr>
      <w:r>
        <w:t xml:space="preserve"> </w:t>
      </w:r>
    </w:p>
    <w:p w:rsidR="00ED4082" w:rsidRDefault="000E22B2" w:rsidP="008E5B23">
      <w:pPr>
        <w:pStyle w:val="ListParagraph"/>
        <w:numPr>
          <w:ilvl w:val="0"/>
          <w:numId w:val="1"/>
        </w:numPr>
        <w:autoSpaceDE w:val="0"/>
        <w:autoSpaceDN w:val="0"/>
        <w:adjustRightInd w:val="0"/>
        <w:spacing w:after="0"/>
      </w:pPr>
      <w:r>
        <w:t>What is the good measure of the risk involved in a venture of this kind? Compute this measure</w:t>
      </w:r>
      <w:r w:rsidR="008E5B23">
        <w:t>.</w:t>
      </w:r>
    </w:p>
    <w:p w:rsidR="008E5B23" w:rsidRPr="008E5B23" w:rsidRDefault="008E5B23" w:rsidP="008E5B23">
      <w:pPr>
        <w:autoSpaceDE w:val="0"/>
        <w:autoSpaceDN w:val="0"/>
        <w:adjustRightInd w:val="0"/>
        <w:spacing w:after="0"/>
        <w:ind w:left="720"/>
        <w:rPr>
          <w:color w:val="00B0F0"/>
        </w:rPr>
      </w:pPr>
      <w:r w:rsidRPr="008E5B23">
        <w:rPr>
          <w:color w:val="00B0F0"/>
        </w:rPr>
        <w:t>Ans: As by the chart, the good measure of loss is -2000 for 0.1 and -1000 for 0.1 so total is 0.2 and hence the loss is 20%.</w:t>
      </w:r>
    </w:p>
    <w:sectPr w:rsidR="008E5B23" w:rsidRPr="008E5B23"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1FB" w:rsidRDefault="000D51FB">
      <w:pPr>
        <w:spacing w:after="0" w:line="240" w:lineRule="auto"/>
      </w:pPr>
      <w:r>
        <w:separator/>
      </w:r>
    </w:p>
  </w:endnote>
  <w:endnote w:type="continuationSeparator" w:id="0">
    <w:p w:rsidR="000D51FB" w:rsidRDefault="000D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1FB" w:rsidRDefault="000D51FB">
      <w:pPr>
        <w:spacing w:after="0" w:line="240" w:lineRule="auto"/>
      </w:pPr>
      <w:r>
        <w:separator/>
      </w:r>
    </w:p>
  </w:footnote>
  <w:footnote w:type="continuationSeparator" w:id="0">
    <w:p w:rsidR="000D51FB" w:rsidRDefault="000D5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1793647">
    <w:abstractNumId w:val="1"/>
  </w:num>
  <w:num w:numId="2" w16cid:durableId="1120538184">
    <w:abstractNumId w:val="2"/>
  </w:num>
  <w:num w:numId="3" w16cid:durableId="1492287170">
    <w:abstractNumId w:val="3"/>
  </w:num>
  <w:num w:numId="4" w16cid:durableId="56159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57F6E"/>
    <w:rsid w:val="00091EE0"/>
    <w:rsid w:val="000D51FB"/>
    <w:rsid w:val="000E22B2"/>
    <w:rsid w:val="00255B69"/>
    <w:rsid w:val="002664C5"/>
    <w:rsid w:val="00310065"/>
    <w:rsid w:val="003C0AC9"/>
    <w:rsid w:val="00614CA4"/>
    <w:rsid w:val="006E187B"/>
    <w:rsid w:val="008160BB"/>
    <w:rsid w:val="00893B16"/>
    <w:rsid w:val="008B5FFA"/>
    <w:rsid w:val="008E5B23"/>
    <w:rsid w:val="00953AAC"/>
    <w:rsid w:val="00AF65C6"/>
    <w:rsid w:val="00BC259D"/>
    <w:rsid w:val="00C74DB7"/>
    <w:rsid w:val="00D2768B"/>
    <w:rsid w:val="00DA582A"/>
    <w:rsid w:val="00F16256"/>
    <w:rsid w:val="00F55E46"/>
    <w:rsid w:val="00F75C3C"/>
    <w:rsid w:val="00FA0D64"/>
    <w:rsid w:val="00FD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CABE"/>
  <w15:docId w15:val="{7A1A9151-A451-4F97-801B-CF0DD2B6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09051">
      <w:bodyDiv w:val="1"/>
      <w:marLeft w:val="0"/>
      <w:marRight w:val="0"/>
      <w:marTop w:val="0"/>
      <w:marBottom w:val="0"/>
      <w:divBdr>
        <w:top w:val="none" w:sz="0" w:space="0" w:color="auto"/>
        <w:left w:val="none" w:sz="0" w:space="0" w:color="auto"/>
        <w:bottom w:val="none" w:sz="0" w:space="0" w:color="auto"/>
        <w:right w:val="none" w:sz="0" w:space="0" w:color="auto"/>
      </w:divBdr>
    </w:div>
    <w:div w:id="21464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rishi.gupta0112@outlook.com</cp:lastModifiedBy>
  <cp:revision>6</cp:revision>
  <dcterms:created xsi:type="dcterms:W3CDTF">2013-09-25T10:59:00Z</dcterms:created>
  <dcterms:modified xsi:type="dcterms:W3CDTF">2023-05-18T07:24:00Z</dcterms:modified>
</cp:coreProperties>
</file>