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Arial" w:cs="Arial" w:eastAsia="Arial" w:hAnsi="Arial"/>
          <w:b/>
          <w:bCs/>
          <w:color w:val="1A3A6B"/>
          <w:sz w:val="48"/>
          <w:szCs w:val="48"/>
        </w:rPr>
        <w:t xml:space="preserve">Duality AI — Offroad Terrain Segmentation</w:t>
      </w:r>
    </w:p>
    <w:p>
      <w:pPr>
        <w:spacing w:after="120"/>
        <w:jc w:val="center"/>
      </w:pPr>
      <w:r>
        <w:rPr>
          <w:rFonts w:ascii="Arial" w:cs="Arial" w:eastAsia="Arial" w:hAnsi="Arial"/>
          <w:color w:val="2E5BA8"/>
          <w:sz w:val="32"/>
          <w:szCs w:val="32"/>
        </w:rPr>
        <w:t xml:space="preserve">Hackathon Technical Report</w:t>
      </w:r>
    </w:p>
    <w:p>
      <w:pPr>
        <w:spacing w:after="480"/>
        <w:jc w:val="center"/>
      </w:pPr>
      <w:r>
        <w:rPr>
          <w:rFonts w:ascii="Arial" w:cs="Arial" w:eastAsia="Arial" w:hAnsi="Arial"/>
          <w:color w:val="666666"/>
          <w:sz w:val="22"/>
          <w:szCs w:val="22"/>
        </w:rPr>
        <w:t xml:space="preserve">Model: UNet + MiT-B2  |  Final Test Mean IoU: 0.3309  |  V3 Pipeline</w:t>
      </w:r>
    </w:p>
    <w:p>
      <w:pPr>
        <w:pStyle w:val="Heading1"/>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This report documents our end-to-end approach for the Duality AI Offroad Terrain Segmentation Hackathon. The challenge required semantic segmentation of off-road imagery into 10 terrain classes. Our final submission uses a UNet architecture with a Mix Transformer (MiT-B2) encoder, trained with a combined Lovász + Focal loss and CosineAnnealingWarmRestarts scheduling, achieving a test Mean IoU of 0.3309.</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 Mean IoU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0.3309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Best Val IoU (training)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0.5202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 Pixel Accuracy (ep 50)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87.2%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Test-Time Augmentation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3-way (orig + H-flip + V-flip)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Training Epochs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Architecture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UNet + MiT-B2 + SCSE decoder</w:t>
            </w:r>
          </w:p>
        </w:tc>
      </w:tr>
    </w:tbl>
    <w:p>
      <w:r>
        <w:t xml:space="preserve"/>
      </w:r>
    </w:p>
    <w:p>
      <w:pPr>
        <w:pStyle w:val="Heading1"/>
      </w:pPr>
      <w:r>
        <w:rPr>
          <w:rFonts w:ascii="Arial" w:cs="Arial" w:eastAsia="Arial" w:hAnsi="Arial"/>
          <w:b/>
          <w:bCs/>
          <w:sz w:val="32"/>
          <w:szCs w:val="32"/>
        </w:rPr>
        <w:t xml:space="preserve">2. Methodology</w:t>
      </w:r>
    </w:p>
    <w:p>
      <w:pPr>
        <w:pStyle w:val="Heading2"/>
      </w:pPr>
      <w:r>
        <w:rPr>
          <w:rFonts w:ascii="Arial" w:cs="Arial" w:eastAsia="Arial" w:hAnsi="Arial"/>
          <w:b/>
          <w:bCs/>
          <w:sz w:val="26"/>
          <w:szCs w:val="26"/>
        </w:rPr>
        <w:t xml:space="preserve">2.1 Architecture</w:t>
      </w:r>
    </w:p>
    <w:p>
      <w:pPr>
        <w:spacing w:after="120"/>
      </w:pPr>
      <w:r>
        <w:rPr>
          <w:rFonts w:ascii="Arial" w:cs="Arial" w:eastAsia="Arial" w:hAnsi="Arial"/>
          <w:sz w:val="22"/>
          <w:szCs w:val="22"/>
        </w:rPr>
        <w:t xml:space="preserve">We used the segmentation-models-pytorch (SMP) library to instantiate a UNet with a MiT-B2 (Mix Transformer B2) encoder pretrained on ImageNet. The decoder uses SCSE (Squeeze-Channel-Spatial Excitation) attention gates, which help the model focus on relevant spatial and channel features during upsampling. The final segmentation head outputs logits for all 10 classes at the original input resolution.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Encoder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MiT-B2 (Mix Transformer B2, ~25M params)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Decoder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UNet decoder with SCSE attention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Input resolution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512 × 512 px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Output classes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Encoder LR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LR × 0.1 (differential learning rate)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Decoder LR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LR × 1.0 (full learning rate)</w:t>
            </w:r>
          </w:p>
        </w:tc>
      </w:tr>
    </w:tbl>
    <w:p>
      <w:r>
        <w:t xml:space="preserve"/>
      </w:r>
    </w:p>
    <w:p>
      <w:pPr>
        <w:pStyle w:val="Heading2"/>
      </w:pPr>
      <w:r>
        <w:rPr>
          <w:rFonts w:ascii="Arial" w:cs="Arial" w:eastAsia="Arial" w:hAnsi="Arial"/>
          <w:b/>
          <w:bCs/>
          <w:sz w:val="26"/>
          <w:szCs w:val="26"/>
        </w:rPr>
        <w:t xml:space="preserve">2.2 Loss Function</w:t>
      </w:r>
    </w:p>
    <w:p>
      <w:pPr>
        <w:spacing w:after="120"/>
      </w:pPr>
      <w:r>
        <w:rPr>
          <w:rFonts w:ascii="Arial" w:cs="Arial" w:eastAsia="Arial" w:hAnsi="Arial"/>
          <w:sz w:val="22"/>
          <w:szCs w:val="22"/>
        </w:rPr>
        <w:t xml:space="preserve">The loss is a weighted combination of two complementary objectives: 0.6 × Lovász Loss + 0.4 × Focal Loss (γ=2.5). The Lovász loss directly optimises the IoU metric by a continuous surrogate. The Focal loss with an elevated γ=2.5 (increased from γ=2.0 in V2) increases gradient weight for rare/hard pixels, specifically targeting the zero-IoU classes: Background, Lush Bushes, Ground Clutter, and Logs.</w:t>
      </w:r>
    </w:p>
    <w:p>
      <w:r>
        <w:t xml:space="preserve"/>
      </w:r>
    </w:p>
    <w:p>
      <w:pPr>
        <w:pStyle w:val="Heading2"/>
      </w:pPr>
      <w:r>
        <w:rPr>
          <w:rFonts w:ascii="Arial" w:cs="Arial" w:eastAsia="Arial" w:hAnsi="Arial"/>
          <w:b/>
          <w:bCs/>
          <w:sz w:val="26"/>
          <w:szCs w:val="26"/>
        </w:rPr>
        <w:t xml:space="preserve">2.3 Training Setup</w:t>
      </w:r>
    </w:p>
    <w:p>
      <w:pPr>
        <w:spacing w:after="120"/>
      </w:pPr>
      <w:r>
        <w:rPr>
          <w:rFonts w:ascii="Arial" w:cs="Arial" w:eastAsia="Arial" w:hAnsi="Arial"/>
          <w:sz w:val="22"/>
          <w:szCs w:val="22"/>
        </w:rPr>
        <w:t xml:space="preserve">Training ran for 50 epochs with a batch size of 8 on a Kaggle GPU (T4/P100). We used AdamW with weight decay 1e-4 and CosineAnnealingWarmRestarts (T0=10, Tm=2), producing LR warm restarts at epochs 10 and 30. Mixed precision (AMP) and gradient clipping (max norm=1.0) were applied. Checkpoints were saved every 10 epochs and the best model (by Val IoU) was retained for inference.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Hyperparameter</w:t>
            </w:r>
          </w:p>
        </w:tc>
        <w:tc>
          <w:tcPr>
            <w:tcW w:type="dxa" w:w="468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Optimizer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AdamW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Base LR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2e-4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Weight decay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1e-4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Batch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Epochs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Scheduler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CosineAnnealingWarmRestarts (T0=10, Tm=2)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Gradient clip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Mixed precision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 (torch.cuda.amp)</w:t>
            </w:r>
          </w:p>
        </w:tc>
      </w:tr>
    </w:tbl>
    <w:p>
      <w:r>
        <w:t xml:space="preserve"/>
      </w:r>
    </w:p>
    <w:p>
      <w:pPr>
        <w:pStyle w:val="Heading2"/>
      </w:pPr>
      <w:r>
        <w:rPr>
          <w:rFonts w:ascii="Arial" w:cs="Arial" w:eastAsia="Arial" w:hAnsi="Arial"/>
          <w:b/>
          <w:bCs/>
          <w:sz w:val="26"/>
          <w:szCs w:val="26"/>
        </w:rPr>
        <w:t xml:space="preserve">2.4 Augmentation Pipeline (V3)</w:t>
      </w:r>
    </w:p>
    <w:p>
      <w:pPr>
        <w:spacing w:after="120"/>
      </w:pPr>
      <w:r>
        <w:rPr>
          <w:rFonts w:ascii="Arial" w:cs="Arial" w:eastAsia="Arial" w:hAnsi="Arial"/>
          <w:sz w:val="22"/>
          <w:szCs w:val="22"/>
        </w:rPr>
        <w:t xml:space="preserve">The V3 augmentation pipeline applies aggressive geometric and colour/texture transforms to improve generalisation across lighting conditions and terrain angles seen in the off-road domain.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Transforms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Geometric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HorizontalFlip (p=0.5), VerticalFlip (p=0.2), Affine ±5% translate, ±15% scale, ±15° rotate (p=0.5)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Colour/Brightness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RandomBrightnessContrast ±30% (p=0.6), HueSaturationValue (p=0.5), CLAHE (p=0.3), RandomGamma (p=0.3)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Noise/Blur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GaussNoise var 10–50 (p=0.3), GaussianBlur 3–5 px (p=0.2)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Structural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RandomShadow (p=0.2), CoarseDropout 8 holes 32×32 (p=0.2), ChannelShuffle (p=0.1)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Normalisation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ImageNet mean/std → ToTensorV2</w:t>
            </w:r>
          </w:p>
        </w:tc>
      </w:tr>
    </w:tbl>
    <w:p>
      <w:r>
        <w:t xml:space="preserve"/>
      </w:r>
    </w:p>
    <w:p>
      <w:pPr>
        <w:pStyle w:val="Heading2"/>
      </w:pPr>
      <w:r>
        <w:rPr>
          <w:rFonts w:ascii="Arial" w:cs="Arial" w:eastAsia="Arial" w:hAnsi="Arial"/>
          <w:b/>
          <w:bCs/>
          <w:sz w:val="26"/>
          <w:szCs w:val="26"/>
        </w:rPr>
        <w:t xml:space="preserve">2.5 Test-Time Augmentation (TTA)</w:t>
      </w:r>
    </w:p>
    <w:p>
      <w:pPr>
        <w:spacing w:after="120"/>
      </w:pPr>
      <w:r>
        <w:rPr>
          <w:rFonts w:ascii="Arial" w:cs="Arial" w:eastAsia="Arial" w:hAnsi="Arial"/>
          <w:sz w:val="22"/>
          <w:szCs w:val="22"/>
        </w:rPr>
        <w:t xml:space="preserve">At inference, we apply 3-way TTA: predictions are averaged over the original image, its horizontal flip, and its vertical flip. Each flip is reversed before averaging so that logits align spatially. This consistently improved mean IoU by ~1–2% compared to single-pass inference.</w:t>
      </w:r>
    </w:p>
    <w:p>
      <w:r>
        <w:t xml:space="preserve"/>
      </w:r>
    </w:p>
    <w:p>
      <w:pPr>
        <w:pStyle w:val="Heading1"/>
      </w:pPr>
      <w:r>
        <w:rPr>
          <w:rFonts w:ascii="Arial" w:cs="Arial" w:eastAsia="Arial" w:hAnsi="Arial"/>
          <w:b/>
          <w:bCs/>
          <w:sz w:val="32"/>
          <w:szCs w:val="32"/>
        </w:rPr>
        <w:t xml:space="preserve">3. Experiments &amp; Approaches Tried</w:t>
      </w:r>
    </w:p>
    <w:p>
      <w:pPr>
        <w:spacing w:after="120"/>
      </w:pPr>
      <w:r>
        <w:rPr>
          <w:rFonts w:ascii="Arial" w:cs="Arial" w:eastAsia="Arial" w:hAnsi="Arial"/>
          <w:sz w:val="22"/>
          <w:szCs w:val="22"/>
        </w:rPr>
        <w:t xml:space="preserve">The following table summarises every major experiment conducted during the hackathon: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160"/>
        <w:gridCol w:w="1800"/>
      </w:tblGrid>
      <w:tr>
        <w:tc>
          <w:tcPr>
            <w:tcW w:type="dxa" w:w="220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Version / Approach</w:t>
            </w:r>
          </w:p>
        </w:tc>
        <w:tc>
          <w:tcPr>
            <w:tcW w:type="dxa" w:w="220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316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Key Change</w:t>
            </w:r>
          </w:p>
        </w:tc>
        <w:tc>
          <w:tcPr>
            <w:tcW w:type="dxa" w:w="180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Val IoU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V1 (Baseline)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UNet + ResNet50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Standard CE loss, basic augmentation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0.419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SAM (Zero-shot)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Segment Anything ViT-H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Zero-shot prompting — no fine-tuning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DINOv2 Probe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DINOv2 ViT-L + linear probe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Frozen DINOv2 features + linear classifier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V2 (Bug)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UNet + MiT-B2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OneCycleLR with wrong total_steps; only 10 epochs ran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0.277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V3 (Final)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UNet + MiT-B2 + SCSE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CosineWarmRestarts, V3 aug, Focal γ=2.5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0.5202</w:t>
            </w:r>
          </w:p>
        </w:tc>
      </w:tr>
    </w:tbl>
    <w:p>
      <w:r>
        <w:t xml:space="preserve"/>
      </w:r>
    </w:p>
    <w:p>
      <w:pPr>
        <w:pStyle w:val="Heading2"/>
      </w:pPr>
      <w:r>
        <w:rPr>
          <w:rFonts w:ascii="Arial" w:cs="Arial" w:eastAsia="Arial" w:hAnsi="Arial"/>
          <w:b/>
          <w:bCs/>
          <w:sz w:val="26"/>
          <w:szCs w:val="26"/>
        </w:rPr>
        <w:t xml:space="preserve">3.1 SAM Experiment</w:t>
      </w:r>
    </w:p>
    <w:p>
      <w:pPr>
        <w:spacing w:after="120"/>
      </w:pPr>
      <w:r>
        <w:rPr>
          <w:rFonts w:ascii="Arial" w:cs="Arial" w:eastAsia="Arial" w:hAnsi="Arial"/>
          <w:sz w:val="22"/>
          <w:szCs w:val="22"/>
        </w:rPr>
        <w:t xml:space="preserve">We evaluated Segment Anything Model (SAM, ViT-H backbone) in a zero-shot setting, using automatic mask generation without class labels. SAM produced fine-grained instance-level segments but could not assign semantic class labels, yielding very low IoU (~0.15) after post-hoc class assignment by colour matching. Fine-tuning SAM was impractical given GPU constraints.</w:t>
      </w:r>
    </w:p>
    <w:p>
      <w:pPr>
        <w:pStyle w:val="Heading2"/>
      </w:pPr>
      <w:r>
        <w:rPr>
          <w:rFonts w:ascii="Arial" w:cs="Arial" w:eastAsia="Arial" w:hAnsi="Arial"/>
          <w:b/>
          <w:bCs/>
          <w:sz w:val="26"/>
          <w:szCs w:val="26"/>
        </w:rPr>
        <w:t xml:space="preserve">3.2 DINOv2 Experiment</w:t>
      </w:r>
    </w:p>
    <w:p>
      <w:pPr>
        <w:spacing w:after="120"/>
      </w:pPr>
      <w:r>
        <w:rPr>
          <w:rFonts w:ascii="Arial" w:cs="Arial" w:eastAsia="Arial" w:hAnsi="Arial"/>
          <w:sz w:val="22"/>
          <w:szCs w:val="22"/>
        </w:rPr>
        <w:t xml:space="preserve">We extracted patch-level features from a frozen DINOv2 ViT-L encoder and trained a lightweight linear classifier on top. While DINOv2 features are semantically rich, the linear probe lacked spatial resolution and produced blurry predictions, especially at class boundaries. Val IoU reached ~0.22 before we switched back to a full encoder-decoder approach.</w:t>
      </w:r>
    </w:p>
    <w:p>
      <w:pPr>
        <w:pStyle w:val="Heading2"/>
      </w:pPr>
      <w:r>
        <w:rPr>
          <w:rFonts w:ascii="Arial" w:cs="Arial" w:eastAsia="Arial" w:hAnsi="Arial"/>
          <w:b/>
          <w:bCs/>
          <w:sz w:val="26"/>
          <w:szCs w:val="26"/>
        </w:rPr>
        <w:t xml:space="preserve">3.3 V2 Scheduler Bug</w:t>
      </w:r>
    </w:p>
    <w:p>
      <w:pPr>
        <w:spacing w:after="120"/>
      </w:pPr>
      <w:r>
        <w:rPr>
          <w:rFonts w:ascii="Arial" w:cs="Arial" w:eastAsia="Arial" w:hAnsi="Arial"/>
          <w:sz w:val="22"/>
          <w:szCs w:val="22"/>
        </w:rPr>
        <w:t xml:space="preserve">V2 introduced MiT-B2 but suffered from an OneCycleLR configuration error: total_steps was computed as steps_per_epoch × 10 instead of steps_per_epoch × 60. This caused the LR to decay to ~1e-9 by epoch 10 and then spike on Kaggle session resume, destabilising training. The model only effectively trained for 10 epochs, explaining the low Val IoU of 0.277.</w:t>
      </w:r>
    </w:p>
    <w:p>
      <w:r>
        <w:t xml:space="preserve"/>
      </w:r>
    </w:p>
    <w:p>
      <w:pPr>
        <w:pStyle w:val="Heading1"/>
      </w:pPr>
      <w:r>
        <w:rPr>
          <w:rFonts w:ascii="Arial" w:cs="Arial" w:eastAsia="Arial" w:hAnsi="Arial"/>
          <w:b/>
          <w:bCs/>
          <w:sz w:val="32"/>
          <w:szCs w:val="32"/>
        </w:rPr>
        <w:t xml:space="preserve">4. Challenges &amp; Solutions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343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43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OneCycleLR crash on resume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total_steps computed incorrectly; LR → 1e-9 by ep 10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Switched to CosineAnnealingWarmRestarts — epoch-based, session-proof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Zero IoU on rare classes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Background, Lush Bushes, Logs, Ground Clutter extremely under-represented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Focal loss with γ=2.5 and class-weighted focal loss; heavy augmentation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Train/Test IoU gap (0.52 → 0.33)</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Possible domain shift between val and test set distributions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3-way TTA; stronger augmentation to improve generalisation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SAM not suitable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class labels; fine-tuning cost too high</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Reverted to supervised UNet approach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DINOv2 low resolution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Patch tokens 14×14 → too coarse for pixel segmentation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Dropped in favour of UNet decoder with SCSE attention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Kaggle session timeouts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Long training; session restarted mid-run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Checkpoint every 10 epochs + auto-resume logic in train.py</w:t>
            </w:r>
          </w:p>
        </w:tc>
      </w:tr>
    </w:tbl>
    <w:p>
      <w:r>
        <w:t xml:space="preserve"/>
      </w:r>
    </w:p>
    <w:p>
      <w:pPr>
        <w:pStyle w:val="Heading1"/>
      </w:pPr>
      <w:r>
        <w:rPr>
          <w:rFonts w:ascii="Arial" w:cs="Arial" w:eastAsia="Arial" w:hAnsi="Arial"/>
          <w:b/>
          <w:bCs/>
          <w:sz w:val="32"/>
          <w:szCs w:val="32"/>
        </w:rPr>
        <w:t xml:space="preserve">5. Performance Evaluation</w:t>
      </w:r>
    </w:p>
    <w:p>
      <w:pPr>
        <w:pStyle w:val="Heading2"/>
      </w:pPr>
      <w:r>
        <w:rPr>
          <w:rFonts w:ascii="Arial" w:cs="Arial" w:eastAsia="Arial" w:hAnsi="Arial"/>
          <w:b/>
          <w:bCs/>
          <w:sz w:val="26"/>
          <w:szCs w:val="26"/>
        </w:rPr>
        <w:t xml:space="preserve">5.1 Per-Class IoU Analysis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60"/>
        <w:gridCol w:w="5000"/>
      </w:tblGrid>
      <w:tr>
        <w:tc>
          <w:tcPr>
            <w:tcW w:type="dxa" w:w="250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86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Test IoU</w:t>
            </w:r>
          </w:p>
        </w:tc>
        <w:tc>
          <w:tcPr>
            <w:tcW w:type="dxa" w:w="500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Sky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0.979</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Highest — distinct colour and large contiguous region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Landscape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0.668</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Broad terrain class; well represented in training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Dry Grass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0.459</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Medium-frequency class; distinctive yellow-brown texture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Trees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0.409</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Moderate — confused with Lush Bushes and Dry Bushes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Dry Bushes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0.362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Similar appearance to Dry Grass; some confusion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Rocks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0.075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Rare class; scattered small regions; high miss rate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Lush Bushes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0.005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Nearly absent in test set or very confused with Trees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Background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0.000</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test pixels predicted correctly as Background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Ground Clutter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0.000</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Extremely rare; model never confidently predicts 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Logs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0.000</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Rarest class; essentially not learned</w:t>
            </w:r>
          </w:p>
        </w:tc>
      </w:tr>
    </w:tbl>
    <w:p>
      <w:r>
        <w:t xml:space="preserve"/>
      </w:r>
    </w:p>
    <w:p>
      <w:pPr>
        <w:pStyle w:val="Heading2"/>
      </w:pPr>
      <w:r>
        <w:rPr>
          <w:rFonts w:ascii="Arial" w:cs="Arial" w:eastAsia="Arial" w:hAnsi="Arial"/>
          <w:b/>
          <w:bCs/>
          <w:sz w:val="26"/>
          <w:szCs w:val="26"/>
        </w:rPr>
        <w:t xml:space="preserve">5.2 Training Curves</w:t>
      </w:r>
    </w:p>
    <w:p>
      <w:pPr>
        <w:spacing w:after="120"/>
      </w:pPr>
      <w:r>
        <w:rPr>
          <w:rFonts w:ascii="Arial" w:cs="Arial" w:eastAsia="Arial" w:hAnsi="Arial"/>
          <w:sz w:val="22"/>
          <w:szCs w:val="22"/>
        </w:rPr>
        <w:t xml:space="preserve">Training loss decreased steadily from 0.362 to 0.224 over 50 epochs. Validation loss followed a similar trajectory, ending at 0.245. The LR warm restarts at epochs 10 and 30 are visible as slight loss bumps that resolve quickly. Val IoU improved from 0.346 to a peak of 0.5202 (saved as best checkpoint). Pixel accuracy reached 87.2% by epoch 50.</w:t>
      </w:r>
    </w:p>
    <w:p>
      <w:r>
        <w:t xml:space="preserve"/>
      </w:r>
    </w:p>
    <w:p>
      <w:pPr>
        <w:pStyle w:val="Heading2"/>
      </w:pPr>
      <w:r>
        <w:rPr>
          <w:rFonts w:ascii="Arial" w:cs="Arial" w:eastAsia="Arial" w:hAnsi="Arial"/>
          <w:b/>
          <w:bCs/>
          <w:sz w:val="26"/>
          <w:szCs w:val="26"/>
        </w:rPr>
        <w:t xml:space="preserve">5.3 Failure Case Analysis</w:t>
      </w:r>
    </w:p>
    <w:p>
      <w:pPr>
        <w:spacing w:after="120"/>
      </w:pPr>
      <w:r>
        <w:rPr>
          <w:rFonts w:ascii="Arial" w:cs="Arial" w:eastAsia="Arial" w:hAnsi="Arial"/>
          <w:sz w:val="22"/>
          <w:szCs w:val="22"/>
        </w:rPr>
        <w:t xml:space="preserve">Three classes — Background, Ground Clutter, and Logs — scored 0.000 IoU on the test set. This is primarily due to severe class imbalance: these classes appear very rarely in both training and test images, making it nearly impossible for the model to learn discriminative features. The Focal loss with γ=2.5 partially addressed this on the training and validation sets (Val IoU improved for these classes during training), but the effect did not transfer to the test set, suggesting further distribution shift.</w:t>
      </w:r>
    </w:p>
    <w:p>
      <w:pPr>
        <w:spacing w:after="120"/>
      </w:pPr>
      <w:r>
        <w:rPr>
          <w:rFonts w:ascii="Arial" w:cs="Arial" w:eastAsia="Arial" w:hAnsi="Arial"/>
          <w:sz w:val="22"/>
          <w:szCs w:val="22"/>
        </w:rPr>
        <w:t xml:space="preserve">The 19-point gap between Val IoU (0.52) and Test IoU (0.33) is larger than expected and suggests the test set has a meaningfully different class distribution or terrain variety compared to the validation set. Strategies such as domain adaptation, multi-scale inference, or ensemble models could narrow this gap.</w:t>
      </w:r>
    </w:p>
    <w:p>
      <w:r>
        <w:t xml:space="preserve"/>
      </w:r>
    </w:p>
    <w:p>
      <w:pPr>
        <w:pStyle w:val="Heading1"/>
      </w:pPr>
      <w:r>
        <w:rPr>
          <w:rFonts w:ascii="Arial" w:cs="Arial" w:eastAsia="Arial" w:hAnsi="Arial"/>
          <w:b/>
          <w:bCs/>
          <w:sz w:val="32"/>
          <w:szCs w:val="32"/>
        </w:rPr>
        <w:t xml:space="preserve">6. Optimisations Applied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Optimisation</w:t>
            </w:r>
          </w:p>
        </w:tc>
        <w:tc>
          <w:tcPr>
            <w:tcW w:type="dxa" w:w="5160"/>
            <w:tcBorders>
              <w:top w:val="single" w:color="CCCCCC" w:sz="1"/>
              <w:left w:val="single" w:color="CCCCCC" w:sz="1"/>
              <w:bottom w:val="single" w:color="CCCCCC" w:sz="1"/>
              <w:right w:val="single" w:color="CCCCCC"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MiT-B2 encoder (vs ResNet50)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+0.10 Val IoU — transformer encoder captures long-range context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SCSE decoder attention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+0.02 Val IoU — channel+spatial attention in decoder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Lovász loss component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Directly optimises IoU metric; better than pure CE or Focal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Focal γ: 2.0 → 2.5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Stronger gradient for rare/hard pixels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Differential LR (0.1× encoder)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Prevents over-writing pretrained features; smoother convergence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CosineWarmRestarts (T0=10, Tm=2)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Escaped local minima at epochs 10 &amp; 30; more stable than OneCycleLR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Mixed precision (AMP)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batch size possible; faster training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3-way TTA at inference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 IoU gain over single-pass inference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V3 augmentation pipeline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Heavy colour/texture augmentation; reduces domain gap</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Gradient clipping (max=1.0)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Prevents gradient explosion with large transformer encoder</w:t>
            </w:r>
          </w:p>
        </w:tc>
      </w:tr>
    </w:tbl>
    <w:p>
      <w:r>
        <w:t xml:space="preserve"/>
      </w:r>
    </w:p>
    <w:p>
      <w:pPr>
        <w:pStyle w:val="Heading1"/>
      </w:pPr>
      <w:r>
        <w:rPr>
          <w:rFonts w:ascii="Arial" w:cs="Arial" w:eastAsia="Arial" w:hAnsi="Arial"/>
          <w:b/>
          <w:bCs/>
          <w:sz w:val="32"/>
          <w:szCs w:val="32"/>
        </w:rPr>
        <w:t xml:space="preserve">7. Future Opportunities</w:t>
      </w:r>
    </w:p>
    <w:p>
      <w:pPr>
        <w:spacing w:after="120"/>
      </w:pPr>
      <w:r>
        <w:rPr>
          <w:rFonts w:ascii="Arial" w:cs="Arial" w:eastAsia="Arial" w:hAnsi="Arial"/>
          <w:sz w:val="22"/>
          <w:szCs w:val="22"/>
        </w:rPr>
        <w:t xml:space="preserve">Based on our experiments, the following directions are most promising for further improvement:</w:t>
      </w:r>
    </w:p>
    <w:p>
      <w:r>
        <w:t xml:space="preserve"/>
      </w:r>
    </w:p>
    <w:p>
      <w:pPr>
        <w:pStyle w:val="ListParagraph"/>
        <w:numPr>
          <w:ilvl w:val="0"/>
          <w:numId w:val="2"/>
        </w:numPr>
        <w:spacing w:after="80"/>
      </w:pPr>
      <w:r>
        <w:rPr>
          <w:rFonts w:ascii="Arial" w:cs="Arial" w:eastAsia="Arial" w:hAnsi="Arial"/>
          <w:sz w:val="22"/>
          <w:szCs w:val="22"/>
        </w:rPr>
        <w:t xml:space="preserve">Class-balanced sampling: Oversample images containing rare classes (Logs, Ground Clutter) to reduce the class imbalance effect.</w:t>
      </w:r>
    </w:p>
    <w:p>
      <w:pPr>
        <w:pStyle w:val="ListParagraph"/>
        <w:numPr>
          <w:ilvl w:val="0"/>
          <w:numId w:val="2"/>
        </w:numPr>
        <w:spacing w:after="80"/>
      </w:pPr>
      <w:r>
        <w:rPr>
          <w:rFonts w:ascii="Arial" w:cs="Arial" w:eastAsia="Arial" w:hAnsi="Arial"/>
          <w:sz w:val="22"/>
          <w:szCs w:val="22"/>
        </w:rPr>
        <w:t xml:space="preserve">Larger encoders: MiT-B4 or MiT-B5 encoders would provide more capacity at the cost of memory.</w:t>
      </w:r>
    </w:p>
    <w:p>
      <w:pPr>
        <w:pStyle w:val="ListParagraph"/>
        <w:numPr>
          <w:ilvl w:val="0"/>
          <w:numId w:val="2"/>
        </w:numPr>
        <w:spacing w:after="80"/>
      </w:pPr>
      <w:r>
        <w:rPr>
          <w:rFonts w:ascii="Arial" w:cs="Arial" w:eastAsia="Arial" w:hAnsi="Arial"/>
          <w:sz w:val="22"/>
          <w:szCs w:val="22"/>
        </w:rPr>
        <w:t xml:space="preserve">SegFormer head: Replace UNet decoder with the native SegFormer lightweight head for better multi-scale features.</w:t>
      </w:r>
    </w:p>
    <w:p>
      <w:pPr>
        <w:pStyle w:val="ListParagraph"/>
        <w:numPr>
          <w:ilvl w:val="0"/>
          <w:numId w:val="2"/>
        </w:numPr>
        <w:spacing w:after="80"/>
      </w:pPr>
      <w:r>
        <w:rPr>
          <w:rFonts w:ascii="Arial" w:cs="Arial" w:eastAsia="Arial" w:hAnsi="Arial"/>
          <w:sz w:val="22"/>
          <w:szCs w:val="22"/>
        </w:rPr>
        <w:t xml:space="preserve">Self-supervised pre-training: Domain-specific pretraining on unlabelled off-road images before supervised fine-tuning.</w:t>
      </w:r>
    </w:p>
    <w:p>
      <w:pPr>
        <w:pStyle w:val="ListParagraph"/>
        <w:numPr>
          <w:ilvl w:val="0"/>
          <w:numId w:val="2"/>
        </w:numPr>
        <w:spacing w:after="80"/>
      </w:pPr>
      <w:r>
        <w:rPr>
          <w:rFonts w:ascii="Arial" w:cs="Arial" w:eastAsia="Arial" w:hAnsi="Arial"/>
          <w:sz w:val="22"/>
          <w:szCs w:val="22"/>
        </w:rPr>
        <w:t xml:space="preserve">Multi-scale inference: Predict at multiple resolutions and fuse; helps with both fine detail and global context.</w:t>
      </w:r>
    </w:p>
    <w:p>
      <w:pPr>
        <w:pStyle w:val="ListParagraph"/>
        <w:numPr>
          <w:ilvl w:val="0"/>
          <w:numId w:val="2"/>
        </w:numPr>
        <w:spacing w:after="240"/>
      </w:pPr>
      <w:r>
        <w:rPr>
          <w:rFonts w:ascii="Arial" w:cs="Arial" w:eastAsia="Arial" w:hAnsi="Arial"/>
          <w:sz w:val="22"/>
          <w:szCs w:val="22"/>
        </w:rPr>
        <w:t xml:space="preserve">Ensemble: Combine predictions from multiple independently trained models (different encoders, seeds).</w:t>
      </w:r>
    </w:p>
    <w:p>
      <w:pPr>
        <w:pStyle w:val="Heading1"/>
      </w:pPr>
      <w:r>
        <w:rPr>
          <w:rFonts w:ascii="Arial" w:cs="Arial" w:eastAsia="Arial" w:hAnsi="Arial"/>
          <w:b/>
          <w:bCs/>
          <w:sz w:val="32"/>
          <w:szCs w:val="32"/>
        </w:rPr>
        <w:t xml:space="preserve">8. Conclusion</w:t>
      </w:r>
    </w:p>
    <w:p>
      <w:pPr>
        <w:spacing w:after="120"/>
      </w:pPr>
      <w:r>
        <w:rPr>
          <w:rFonts w:ascii="Arial" w:cs="Arial" w:eastAsia="Arial" w:hAnsi="Arial"/>
          <w:sz w:val="22"/>
          <w:szCs w:val="22"/>
        </w:rPr>
        <w:t xml:space="preserve">We iterated through five distinct approaches — baseline ResNet UNet, SAM zero-shot, DINOv2 linear probing, a bugged V2, and the final V3 — progressively improving both methodology and infrastructure. The final V3 model (UNet + MiT-B2 + SCSE, Lovász + Focal loss, CosineWarmRestarts, V3 augmentation, 3-way TTA) achieves a Test Mean IoU of 0.3309, with excellent performance on dominant classes (Sky, Landscape) and clear failure modes on rare classes (Logs, Ground Clutter, Background). The codebase is fully reproducible via train.py and test.py with the instructions in README.md.</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80"/>
      <w:outlineLvl w:val="0"/>
    </w:pPr>
    <w:rPr>
      <w:rFonts w:ascii="Arial" w:cs="Arial" w:eastAsia="Arial" w:hAnsi="Arial"/>
      <w:b/>
      <w:bCs/>
      <w:color w:val="1A3A6B"/>
      <w:sz w:val="32"/>
      <w:szCs w:val="32"/>
    </w:rPr>
  </w:style>
  <w:style w:type="paragraph" w:styleId="Heading2">
    <w:name w:val="Heading 2"/>
    <w:basedOn w:val="Normal"/>
    <w:next w:val="Normal"/>
    <w:pPr>
      <w:spacing w:before="240" w:after="120"/>
      <w:outlineLvl w:val="1"/>
    </w:pPr>
    <w:rPr>
      <w:rFonts w:ascii="Arial" w:cs="Arial" w:eastAsia="Arial" w:hAnsi="Arial"/>
      <w:b/>
      <w:bCs/>
      <w:color w:val="2E5B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2026-03-01T07:24:36.480Z</dcterms:created>
  <dcterms:modified xsi:type="dcterms:W3CDTF">2026-03-01T07:24:36.481Z</dcterms:modified>
</cp:coreProperties>
</file>

<file path=docProps/custom.xml><?xml version="1.0" encoding="utf-8"?>
<Properties xmlns="http://schemas.openxmlformats.org/officeDocument/2006/custom-properties" xmlns:vt="http://schemas.openxmlformats.org/officeDocument/2006/docPropsVTypes"/>
</file>