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595959"/>
          <w:spacing w:val="40"/>
          <w:sz w:val="26"/>
          <w:szCs w:val="26"/>
        </w:rPr>
        <w:t xml:space="preserve">PROJECT REPORT</w:t>
      </w:r>
    </w:p>
    <w:p>
      <w:pPr>
        <w:spacing w:after="200" w:before="200"/>
        <w:jc w:val="center"/>
      </w:pPr>
      <w:r>
        <w:rPr>
          <w:b/>
          <w:bCs/>
          <w:color w:val="1F4E5F"/>
          <w:sz w:val="64"/>
          <w:szCs w:val="64"/>
        </w:rPr>
        <w:t xml:space="preserve">SkillDrift</w:t>
      </w:r>
    </w:p>
    <w:p>
      <w:pPr>
        <w:spacing w:after="600"/>
        <w:jc w:val="center"/>
      </w:pPr>
      <w:r>
        <w:rPr>
          <w:i/>
          <w:iCs/>
          <w:color w:val="595959"/>
          <w:sz w:val="26"/>
          <w:szCs w:val="26"/>
        </w:rPr>
        <w:t xml:space="preserve">A Passive AI-Driven Skill-Decay Detection and Micro-Retraining Platform for the Industrial Workforce</w:t>
      </w:r>
    </w:p>
    <w:p>
      <w:pPr>
        <w:spacing w:after="80"/>
        <w:jc w:val="center"/>
      </w:pPr>
      <w:r>
        <w:rPr>
          <w:sz w:val="22"/>
          <w:szCs w:val="22"/>
        </w:rPr>
        <w:t xml:space="preserve">Prepared by: Rishika</w:t>
      </w:r>
    </w:p>
    <w:p>
      <w:pPr>
        <w:spacing w:after="80"/>
        <w:jc w:val="center"/>
      </w:pPr>
      <w:r>
        <w:rPr>
          <w:color w:val="595959"/>
          <w:sz w:val="20"/>
          <w:szCs w:val="20"/>
        </w:rPr>
        <w:t xml:space="preserve">Repository: github.com/Rishika1697/SkillDrift--internship</w:t>
      </w:r>
    </w:p>
    <w:p>
      <w:pPr>
        <w:spacing w:after="80"/>
        <w:jc w:val="center"/>
      </w:pPr>
      <w:r>
        <w:rPr>
          <w:color w:val="595959"/>
          <w:sz w:val="20"/>
          <w:szCs w:val="20"/>
        </w:rPr>
        <w:t xml:space="preserve">Type: Internship / Product Prototype Project</w:t>
      </w:r>
    </w:p>
    <w:p>
      <w:pPr>
        <w:spacing w:after="2000"/>
        <w:jc w:val="center"/>
      </w:pPr>
      <w:r>
        <w:rPr>
          <w:color w:val="595959"/>
          <w:sz w:val="20"/>
          <w:szCs w:val="20"/>
        </w:rPr>
        <w:t xml:space="preserve">Date: July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4E5F" w:sz="8" w:space="4"/>
        </w:pBdr>
        <w:spacing w:after="180" w:before="360"/>
      </w:pPr>
      <w:r>
        <w:rPr>
          <w:b/>
          <w:bCs/>
          <w:color w:val="1F4E5F"/>
          <w:sz w:val="30"/>
          <w:szCs w:val="30"/>
        </w:rPr>
        <w:t xml:space="preserve">1. Executive Summary</w:t>
      </w:r>
    </w:p>
    <w:p>
      <w:pPr>
        <w:spacing w:after="160" w:line="276"/>
        <w:jc w:val="both"/>
      </w:pPr>
      <w:r>
        <w:rPr>
          <w:sz w:val="22"/>
          <w:szCs w:val="22"/>
        </w:rPr>
        <w:t xml:space="preserve">SkillDrift is a passive AI monitoring platform that detects skill decay in industrial and blue-collar workers before it turns into defects, rework, or safety incidents. It combines IoT sensor data, machine and quality-system output patterns, and lightweight micro-assessments to build a continuously updated “skill fingerprint” for every worker on a factory floor. When a worker's competency on a specific task drifts below a set threshold, SkillDrift alerts the line manager and automatically pushes a short, targeted training module in the worker's own language — closing the gap before it causes measurable loss.</w:t>
      </w:r>
    </w:p>
    <w:p>
      <w:pPr>
        <w:spacing w:after="160" w:line="276"/>
        <w:jc w:val="both"/>
      </w:pPr>
      <w:r>
        <w:rPr>
          <w:sz w:val="22"/>
          <w:szCs w:val="22"/>
        </w:rPr>
        <w:t xml:space="preserve">The platform is aimed at manufacturing and skilled-trade employers, a workforce segment of over 300 million people in India and 1.5 billion people globally, that has received almost none of the workforce-technology investment directed at white-collar knowledge workers. Because SkillDrift is framed as a loss-prevention tool rather than a feature-addition tool, its value is easy for a plant head to quantify and renew against — for example, rework or scrap avoided in a given quarter.</w:t>
      </w:r>
    </w:p>
    <w:p>
      <w:pPr>
        <w:pStyle w:val="Heading1"/>
        <w:pBdr>
          <w:bottom w:val="single" w:color="1F4E5F" w:sz="8" w:space="4"/>
        </w:pBdr>
        <w:spacing w:after="180" w:before="360"/>
      </w:pPr>
      <w:r>
        <w:rPr>
          <w:b/>
          <w:bCs/>
          <w:color w:val="1F4E5F"/>
          <w:sz w:val="30"/>
          <w:szCs w:val="30"/>
        </w:rPr>
        <w:t xml:space="preserve">2. Problem Statement</w:t>
      </w:r>
    </w:p>
    <w:p>
      <w:pPr>
        <w:spacing w:after="160" w:line="276"/>
        <w:jc w:val="both"/>
      </w:pPr>
      <w:r>
        <w:rPr>
          <w:b/>
          <w:bCs/>
          <w:sz w:val="22"/>
          <w:szCs w:val="22"/>
        </w:rPr>
        <w:t xml:space="preserve">Skill decay on the factory floor is invisible until it becomes expensive. </w:t>
      </w:r>
      <w:r>
        <w:rPr>
          <w:sz w:val="22"/>
          <w:szCs w:val="22"/>
        </w:rPr>
        <w:t xml:space="preserve">Workers are trained once, sometimes retrained annually, but the competency gained from that training silently erodes with time, shift changes, machine turnover, and lack of practice on specific tasks. Unlike white-collar skill gaps, which show up in obvious ways (missed deadlines, poor code review scores), blue-collar skill gaps surface only after damage has already occurred — as a defective batch, a safety incident, or unplanned downtime.</w:t>
      </w:r>
    </w:p>
    <w:p>
      <w:pPr>
        <w:spacing w:after="160" w:line="276"/>
        <w:jc w:val="both"/>
      </w:pPr>
      <w:r>
        <w:rPr>
          <w:sz w:val="22"/>
          <w:szCs w:val="22"/>
        </w:rPr>
        <w:t xml:space="preserve">Two structural problems compound this:</w:t>
      </w:r>
    </w:p>
    <w:p>
      <w:pPr>
        <w:pStyle w:val="ListParagraph"/>
        <w:numPr>
          <w:ilvl w:val="0"/>
          <w:numId w:val="2"/>
        </w:numPr>
        <w:spacing w:after="80"/>
      </w:pPr>
      <w:r>
        <w:rPr>
          <w:sz w:val="22"/>
          <w:szCs w:val="22"/>
        </w:rPr>
        <w:t xml:space="preserve">Retraining today is blanket and calendar-driven, not need-driven — entire shifts are pulled off the line for refreshers whether or not they need them, wasting productive hours.</w:t>
      </w:r>
    </w:p>
    <w:p>
      <w:pPr>
        <w:pStyle w:val="ListParagraph"/>
        <w:numPr>
          <w:ilvl w:val="0"/>
          <w:numId w:val="2"/>
        </w:numPr>
        <w:spacing w:after="80"/>
      </w:pPr>
      <w:r>
        <w:rPr>
          <w:sz w:val="22"/>
          <w:szCs w:val="22"/>
        </w:rPr>
        <w:t xml:space="preserve">There is no continuous, objective signal of who is drifting on which specific skill, so managers rely on anecdote, inspection sampling, or after-the-fact incident review rather than early warning.</w:t>
      </w:r>
    </w:p>
    <w:p>
      <w:pPr>
        <w:spacing w:after="160" w:line="276"/>
        <w:jc w:val="both"/>
      </w:pPr>
      <w:r>
        <w:rPr>
          <w:sz w:val="22"/>
          <w:szCs w:val="22"/>
        </w:rPr>
        <w:t xml:space="preserve">This creates a market gap for a system that watches quietly, flags drift early, and intervenes with the smallest possible training dose — which is precisely what SkillDrift is designed to do.</w:t>
      </w:r>
    </w:p>
    <w:p>
      <w:pPr>
        <w:pStyle w:val="Heading1"/>
        <w:pBdr>
          <w:bottom w:val="single" w:color="1F4E5F" w:sz="8" w:space="4"/>
        </w:pBdr>
        <w:spacing w:after="180" w:before="360"/>
      </w:pPr>
      <w:r>
        <w:rPr>
          <w:b/>
          <w:bCs/>
          <w:color w:val="1F4E5F"/>
          <w:sz w:val="30"/>
          <w:szCs w:val="30"/>
        </w:rPr>
        <w:t xml:space="preserve">3. Objectives</w:t>
      </w:r>
    </w:p>
    <w:p>
      <w:pPr>
        <w:pStyle w:val="ListParagraph"/>
        <w:numPr>
          <w:ilvl w:val="0"/>
          <w:numId w:val="2"/>
        </w:numPr>
        <w:spacing w:after="80"/>
      </w:pPr>
      <w:r>
        <w:rPr>
          <w:sz w:val="22"/>
          <w:szCs w:val="22"/>
        </w:rPr>
        <w:t xml:space="preserve">Build a passive monitoring layer that infers worker skill-health from existing IoT sensor data and machine/quality output, without requiring workers to self-report.</w:t>
      </w:r>
    </w:p>
    <w:p>
      <w:pPr>
        <w:pStyle w:val="ListParagraph"/>
        <w:numPr>
          <w:ilvl w:val="0"/>
          <w:numId w:val="2"/>
        </w:numPr>
        <w:spacing w:after="80"/>
      </w:pPr>
      <w:r>
        <w:rPr>
          <w:sz w:val="22"/>
          <w:szCs w:val="22"/>
        </w:rPr>
        <w:t xml:space="preserve">Detect skill decay early enough that a short, targeted intervention can prevent the associated rework, scrap, or safety risk.</w:t>
      </w:r>
    </w:p>
    <w:p>
      <w:pPr>
        <w:pStyle w:val="ListParagraph"/>
        <w:numPr>
          <w:ilvl w:val="0"/>
          <w:numId w:val="2"/>
        </w:numPr>
        <w:spacing w:after="80"/>
      </w:pPr>
      <w:r>
        <w:rPr>
          <w:sz w:val="22"/>
          <w:szCs w:val="22"/>
        </w:rPr>
        <w:t xml:space="preserve">Automatically generate and deliver micro-training (5–10 minutes) in the worker's own language, matched to the specific skill that is drifting.</w:t>
      </w:r>
    </w:p>
    <w:p>
      <w:pPr>
        <w:pStyle w:val="ListParagraph"/>
        <w:numPr>
          <w:ilvl w:val="0"/>
          <w:numId w:val="2"/>
        </w:numPr>
        <w:spacing w:after="80"/>
      </w:pPr>
      <w:r>
        <w:rPr>
          <w:sz w:val="22"/>
          <w:szCs w:val="22"/>
        </w:rPr>
        <w:t xml:space="preserve">Give plant managers a live, visual picture of workforce competency (skill-health heatmap) and real-time drift alerts.</w:t>
      </w:r>
    </w:p>
    <w:p>
      <w:pPr>
        <w:pStyle w:val="ListParagraph"/>
        <w:numPr>
          <w:ilvl w:val="0"/>
          <w:numId w:val="2"/>
        </w:numPr>
        <w:spacing w:after="80"/>
      </w:pPr>
      <w:r>
        <w:rPr>
          <w:sz w:val="22"/>
          <w:szCs w:val="22"/>
        </w:rPr>
        <w:t xml:space="preserve">Maintain an evidence-backed training and compliance log usable for ISO and factory safety / labour audits.</w:t>
      </w:r>
    </w:p>
    <w:p>
      <w:pPr>
        <w:pStyle w:val="ListParagraph"/>
        <w:numPr>
          <w:ilvl w:val="0"/>
          <w:numId w:val="2"/>
        </w:numPr>
        <w:spacing w:after="80"/>
      </w:pPr>
      <w:r>
        <w:rPr>
          <w:sz w:val="22"/>
          <w:szCs w:val="22"/>
        </w:rPr>
        <w:t xml:space="preserve">Quantify the financial impact of interventions through a monthly ROI report, so the product's value is self-evident to the buyer.</w:t>
      </w:r>
    </w:p>
    <w:p>
      <w:pPr>
        <w:pStyle w:val="Heading1"/>
        <w:pBdr>
          <w:bottom w:val="single" w:color="1F4E5F" w:sz="8" w:space="4"/>
        </w:pBdr>
        <w:spacing w:after="180" w:before="360"/>
      </w:pPr>
      <w:r>
        <w:rPr>
          <w:b/>
          <w:bCs/>
          <w:color w:val="1F4E5F"/>
          <w:sz w:val="30"/>
          <w:szCs w:val="30"/>
        </w:rPr>
        <w:t xml:space="preserve">4. Market Opportunity &amp; Rationale</w:t>
      </w:r>
    </w:p>
    <w:p>
      <w:pPr>
        <w:pStyle w:val="Heading2"/>
        <w:spacing w:after="120" w:before="260"/>
      </w:pPr>
      <w:r>
        <w:rPr>
          <w:b/>
          <w:bCs/>
          <w:color w:val="1F4E5F"/>
          <w:sz w:val="24"/>
          <w:szCs w:val="24"/>
        </w:rPr>
        <w:t xml:space="preserve">4.1 Market size</w:t>
      </w:r>
    </w:p>
    <w:p>
      <w:pPr>
        <w:spacing w:after="160" w:line="276"/>
        <w:jc w:val="both"/>
      </w:pPr>
      <w:r>
        <w:rPr>
          <w:sz w:val="22"/>
          <w:szCs w:val="22"/>
        </w:rPr>
        <w:t xml:space="preserve">The addressable market is very large: over 300 million manufacturing workers in India alone, and more than 1.5 billion people employed in skilled trades globally. Practically every factory with more than roughly 20 workers is a potential customer, and workforce technology investment has historically gone almost entirely toward white-collar knowledge workers — leaving this segment underserved.</w:t>
      </w:r>
    </w:p>
    <w:p>
      <w:pPr>
        <w:pStyle w:val="Heading2"/>
        <w:spacing w:after="120" w:before="260"/>
      </w:pPr>
      <w:r>
        <w:rPr>
          <w:b/>
          <w:bCs/>
          <w:color w:val="1F4E5F"/>
          <w:sz w:val="24"/>
          <w:szCs w:val="24"/>
        </w:rPr>
        <w:t xml:space="preserve">4.2 Why it is sustainable as a business</w:t>
      </w:r>
    </w:p>
    <w:p>
      <w:pPr>
        <w:pStyle w:val="ListParagraph"/>
        <w:numPr>
          <w:ilvl w:val="0"/>
          <w:numId w:val="2"/>
        </w:numPr>
        <w:spacing w:after="80"/>
      </w:pPr>
      <w:r>
        <w:rPr>
          <w:sz w:val="22"/>
          <w:szCs w:val="22"/>
        </w:rPr>
        <w:t xml:space="preserve">Loss prevention sells itself — a product that demonstrably prevents cost (e.g. “₹18 lakh in rework prevented this quarter”) is far easier to renew than a product that merely adds a new capability.</w:t>
      </w:r>
    </w:p>
    <w:p>
      <w:pPr>
        <w:pStyle w:val="ListParagraph"/>
        <w:numPr>
          <w:ilvl w:val="0"/>
          <w:numId w:val="2"/>
        </w:numPr>
        <w:spacing w:after="80"/>
      </w:pPr>
      <w:r>
        <w:rPr>
          <w:sz w:val="22"/>
          <w:szCs w:val="22"/>
        </w:rPr>
        <w:t xml:space="preserve">Deep data moat — after roughly 12 months of sensor and output data from a given factory, the skill models become specific to that industry, that machinery, and that workforce, which is difficult for a new entrant to replicate quickly.</w:t>
      </w:r>
    </w:p>
    <w:p>
      <w:pPr>
        <w:pStyle w:val="ListParagraph"/>
        <w:numPr>
          <w:ilvl w:val="0"/>
          <w:numId w:val="2"/>
        </w:numPr>
        <w:spacing w:after="80"/>
      </w:pPr>
      <w:r>
        <w:rPr>
          <w:sz w:val="22"/>
          <w:szCs w:val="22"/>
        </w:rPr>
        <w:t xml:space="preserve">Sustainability / ESG appeal — fewer workplace injuries, less material waste from defective output, and less energy spent on unnecessary blanket retraining are genuine sustainability wins that also appeal to ESG-conscious enterprise buyers.</w:t>
      </w:r>
    </w:p>
    <w:p>
      <w:pPr>
        <w:pStyle w:val="Heading2"/>
        <w:spacing w:after="120" w:before="260"/>
      </w:pPr>
      <w:r>
        <w:rPr>
          <w:b/>
          <w:bCs/>
          <w:color w:val="1F4E5F"/>
          <w:sz w:val="24"/>
          <w:szCs w:val="24"/>
        </w:rPr>
        <w:t xml:space="preserve">4.3 Core technical challenge</w:t>
      </w:r>
    </w:p>
    <w:p>
      <w:pPr>
        <w:spacing w:after="160" w:line="276"/>
        <w:jc w:val="both"/>
      </w:pPr>
      <w:r>
        <w:rPr>
          <w:sz w:val="22"/>
          <w:szCs w:val="22"/>
        </w:rPr>
        <w:t xml:space="preserve">Every factory runs different machines and sensors, so the hardest engineering problem is integration, not modelling. The core moat to establish early is a lightweight, hardware-agnostic adapter layer that can connect to existing PLCs (programmable logic controllers) and quality-management systems without requiring a factory to replace its existing hardware.</w:t>
      </w:r>
    </w:p>
    <w:p>
      <w:pPr>
        <w:pStyle w:val="Heading1"/>
        <w:pBdr>
          <w:bottom w:val="single" w:color="1F4E5F" w:sz="8" w:space="4"/>
        </w:pBdr>
        <w:spacing w:after="180" w:before="360"/>
      </w:pPr>
      <w:r>
        <w:rPr>
          <w:b/>
          <w:bCs/>
          <w:color w:val="1F4E5F"/>
          <w:sz w:val="30"/>
          <w:szCs w:val="30"/>
        </w:rPr>
        <w:t xml:space="preserve">5. Proposed Solution — How SkillDrift Works</w:t>
      </w:r>
    </w:p>
    <w:p>
      <w:pPr>
        <w:spacing w:after="160" w:line="276"/>
        <w:jc w:val="both"/>
      </w:pPr>
      <w:r>
        <w:rPr>
          <w:sz w:val="22"/>
          <w:szCs w:val="22"/>
        </w:rPr>
        <w:t xml:space="preserve">SkillDrift operates as a continuous, low-friction background layer rather than a testing or surveillance tool that interrupts work:</w:t>
      </w:r>
    </w:p>
    <w:p>
      <w:pPr>
        <w:pStyle w:val="ListParagraph"/>
        <w:numPr>
          <w:ilvl w:val="0"/>
          <w:numId w:val="2"/>
        </w:numPr>
        <w:spacing w:after="80"/>
      </w:pPr>
      <w:r>
        <w:rPr>
          <w:sz w:val="22"/>
          <w:szCs w:val="22"/>
        </w:rPr>
        <w:t xml:space="preserve">Signal collection — ingests IoT sensor telemetry (machine cycle times, tolerances, error codes) and downstream output-quality data (defect rates, rework counts) already produced on the factory floor.</w:t>
      </w:r>
    </w:p>
    <w:p>
      <w:pPr>
        <w:pStyle w:val="ListParagraph"/>
        <w:numPr>
          <w:ilvl w:val="0"/>
          <w:numId w:val="2"/>
        </w:numPr>
        <w:spacing w:after="80"/>
      </w:pPr>
      <w:r>
        <w:rPr>
          <w:sz w:val="22"/>
          <w:szCs w:val="22"/>
        </w:rPr>
        <w:t xml:space="preserve">Skill inference — correlates a worker's task-level output patterns against their historical baseline and peer benchmarks to infer where competency is drifting, supplemented by short, occasional micro-assessment nudges where sensor data alone is inconclusive.</w:t>
      </w:r>
    </w:p>
    <w:p>
      <w:pPr>
        <w:pStyle w:val="ListParagraph"/>
        <w:numPr>
          <w:ilvl w:val="0"/>
          <w:numId w:val="2"/>
        </w:numPr>
        <w:spacing w:after="80"/>
      </w:pPr>
      <w:r>
        <w:rPr>
          <w:sz w:val="22"/>
          <w:szCs w:val="22"/>
        </w:rPr>
        <w:t xml:space="preserve">Drift detection — applies a configurable decay threshold per skill; when a worker crosses it, the system raises an alert rather than waiting for a scheduled review cycle.</w:t>
      </w:r>
    </w:p>
    <w:p>
      <w:pPr>
        <w:pStyle w:val="ListParagraph"/>
        <w:numPr>
          <w:ilvl w:val="0"/>
          <w:numId w:val="2"/>
        </w:numPr>
        <w:spacing w:after="80"/>
      </w:pPr>
      <w:r>
        <w:rPr>
          <w:sz w:val="22"/>
          <w:szCs w:val="22"/>
        </w:rPr>
        <w:t xml:space="preserve">Targeted intervention — auto-generates a 5–10 minute micro-training module addressing the specific skill and pushes it to the worker in their preferred language, minimizing disruption to shift schedules.</w:t>
      </w:r>
    </w:p>
    <w:p>
      <w:pPr>
        <w:pStyle w:val="ListParagraph"/>
        <w:numPr>
          <w:ilvl w:val="0"/>
          <w:numId w:val="2"/>
        </w:numPr>
        <w:spacing w:after="80"/>
      </w:pPr>
      <w:r>
        <w:rPr>
          <w:sz w:val="22"/>
          <w:szCs w:val="22"/>
        </w:rPr>
        <w:t xml:space="preserve">Feedback loop — tracks whether the intervention improved the worker's subsequent output, refining the underlying skill model over time.</w:t>
      </w:r>
    </w:p>
    <w:p>
      <w:pPr>
        <w:pStyle w:val="Heading1"/>
        <w:pBdr>
          <w:bottom w:val="single" w:color="1F4E5F" w:sz="8" w:space="4"/>
        </w:pBdr>
        <w:spacing w:after="180" w:before="360"/>
      </w:pPr>
      <w:r>
        <w:rPr>
          <w:b/>
          <w:bCs/>
          <w:color w:val="1F4E5F"/>
          <w:sz w:val="30"/>
          <w:szCs w:val="30"/>
        </w:rPr>
        <w:t xml:space="preserve">6. Platform Features &amp; Outputs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5F" w:val="clear"/>
            <w:tcMar>
              <w:top w:type="dxa" w:w="100"/>
              <w:left w:type="dxa" w:w="120"/>
              <w:bottom w:type="dxa" w:w="100"/>
              <w:right w:type="dxa" w:w="120"/>
            </w:tcMar>
          </w:tcPr>
          <w:p>
            <w:r>
              <w:rPr>
                <w:b/>
                <w:bCs/>
                <w:color w:val="FFFFFF"/>
                <w:sz w:val="20"/>
                <w:szCs w:val="20"/>
              </w:rPr>
              <w:t xml:space="preserve">Feature</w:t>
            </w:r>
          </w:p>
        </w:tc>
        <w:tc>
          <w:tcPr>
            <w:tcW w:type="dxa" w:w="6200"/>
            <w:shd w:fill="1F4E5F" w:val="clear"/>
            <w:tcMar>
              <w:top w:type="dxa" w:w="100"/>
              <w:left w:type="dxa" w:w="120"/>
              <w:bottom w:type="dxa" w:w="100"/>
              <w:right w:type="dxa" w:w="120"/>
            </w:tcMar>
          </w:tcPr>
          <w:p>
            <w:r>
              <w:rPr>
                <w:b/>
                <w:bCs/>
                <w:color w:val="FFFFFF"/>
                <w:sz w:val="20"/>
                <w:szCs w:val="20"/>
              </w:rPr>
              <w:t xml:space="preserve">Description</w:t>
            </w:r>
          </w:p>
        </w:tc>
      </w:tr>
      <w:tr>
        <w:tc>
          <w:tcPr>
            <w:tcW w:type="dxa" w:w="3200"/>
            <w:tcMar>
              <w:top w:type="dxa" w:w="100"/>
              <w:left w:type="dxa" w:w="120"/>
              <w:bottom w:type="dxa" w:w="100"/>
              <w:right w:type="dxa" w:w="120"/>
            </w:tcMar>
          </w:tcPr>
          <w:p>
            <w:r>
              <w:rPr>
                <w:b w:val="false"/>
                <w:bCs w:val="false"/>
                <w:color w:val="000000"/>
                <w:sz w:val="20"/>
                <w:szCs w:val="20"/>
              </w:rPr>
              <w:t xml:space="preserve">Skill-Health Heatmap</w:t>
            </w:r>
          </w:p>
        </w:tc>
        <w:tc>
          <w:tcPr>
            <w:tcW w:type="dxa" w:w="6200"/>
            <w:tcMar>
              <w:top w:type="dxa" w:w="100"/>
              <w:left w:type="dxa" w:w="120"/>
              <w:bottom w:type="dxa" w:w="100"/>
              <w:right w:type="dxa" w:w="120"/>
            </w:tcMar>
          </w:tcPr>
          <w:p>
            <w:r>
              <w:rPr>
                <w:b w:val="false"/>
                <w:bCs w:val="false"/>
                <w:color w:val="000000"/>
                <w:sz w:val="20"/>
                <w:szCs w:val="20"/>
              </w:rPr>
              <w:t xml:space="preserve">Live dashboard showing every worker's competency status across all tracked skills.</w:t>
            </w:r>
          </w:p>
        </w:tc>
      </w:tr>
      <w:tr>
        <w:tc>
          <w:tcPr>
            <w:tcW w:type="dxa" w:w="3200"/>
            <w:shd w:fill="EAF1F3" w:val="clear"/>
            <w:tcMar>
              <w:top w:type="dxa" w:w="100"/>
              <w:left w:type="dxa" w:w="120"/>
              <w:bottom w:type="dxa" w:w="100"/>
              <w:right w:type="dxa" w:w="120"/>
            </w:tcMar>
          </w:tcPr>
          <w:p>
            <w:r>
              <w:rPr>
                <w:b w:val="false"/>
                <w:bCs w:val="false"/>
                <w:color w:val="000000"/>
                <w:sz w:val="20"/>
                <w:szCs w:val="20"/>
              </w:rPr>
              <w:t xml:space="preserve">Drift Alerts</w:t>
            </w:r>
          </w:p>
        </w:tc>
        <w:tc>
          <w:tcPr>
            <w:tcW w:type="dxa" w:w="6200"/>
            <w:shd w:fill="EAF1F3" w:val="clear"/>
            <w:tcMar>
              <w:top w:type="dxa" w:w="100"/>
              <w:left w:type="dxa" w:w="120"/>
              <w:bottom w:type="dxa" w:w="100"/>
              <w:right w:type="dxa" w:w="120"/>
            </w:tcMar>
          </w:tcPr>
          <w:p>
            <w:r>
              <w:rPr>
                <w:b w:val="false"/>
                <w:bCs w:val="false"/>
                <w:color w:val="000000"/>
                <w:sz w:val="20"/>
                <w:szCs w:val="20"/>
              </w:rPr>
              <w:t xml:space="preserve">Real-time notifications to managers when a worker crosses a skill-decay threshold.</w:t>
            </w:r>
          </w:p>
        </w:tc>
      </w:tr>
      <w:tr>
        <w:tc>
          <w:tcPr>
            <w:tcW w:type="dxa" w:w="3200"/>
            <w:tcMar>
              <w:top w:type="dxa" w:w="100"/>
              <w:left w:type="dxa" w:w="120"/>
              <w:bottom w:type="dxa" w:w="100"/>
              <w:right w:type="dxa" w:w="120"/>
            </w:tcMar>
          </w:tcPr>
          <w:p>
            <w:r>
              <w:rPr>
                <w:b w:val="false"/>
                <w:bCs w:val="false"/>
                <w:color w:val="000000"/>
                <w:sz w:val="20"/>
                <w:szCs w:val="20"/>
              </w:rPr>
              <w:t xml:space="preserve">Micro-Training Nudges</w:t>
            </w:r>
          </w:p>
        </w:tc>
        <w:tc>
          <w:tcPr>
            <w:tcW w:type="dxa" w:w="6200"/>
            <w:tcMar>
              <w:top w:type="dxa" w:w="100"/>
              <w:left w:type="dxa" w:w="120"/>
              <w:bottom w:type="dxa" w:w="100"/>
              <w:right w:type="dxa" w:w="120"/>
            </w:tcMar>
          </w:tcPr>
          <w:p>
            <w:r>
              <w:rPr>
                <w:b w:val="false"/>
                <w:bCs w:val="false"/>
                <w:color w:val="000000"/>
                <w:sz w:val="20"/>
                <w:szCs w:val="20"/>
              </w:rPr>
              <w:t xml:space="preserve">Auto-generated 5–10 minute targeted lessons pushed to the worker in their language.</w:t>
            </w:r>
          </w:p>
        </w:tc>
      </w:tr>
      <w:tr>
        <w:tc>
          <w:tcPr>
            <w:tcW w:type="dxa" w:w="3200"/>
            <w:shd w:fill="EAF1F3" w:val="clear"/>
            <w:tcMar>
              <w:top w:type="dxa" w:w="100"/>
              <w:left w:type="dxa" w:w="120"/>
              <w:bottom w:type="dxa" w:w="100"/>
              <w:right w:type="dxa" w:w="120"/>
            </w:tcMar>
          </w:tcPr>
          <w:p>
            <w:r>
              <w:rPr>
                <w:b w:val="false"/>
                <w:bCs w:val="false"/>
                <w:color w:val="000000"/>
                <w:sz w:val="20"/>
                <w:szCs w:val="20"/>
              </w:rPr>
              <w:t xml:space="preserve">Skill Fingerprint</w:t>
            </w:r>
          </w:p>
        </w:tc>
        <w:tc>
          <w:tcPr>
            <w:tcW w:type="dxa" w:w="6200"/>
            <w:shd w:fill="EAF1F3" w:val="clear"/>
            <w:tcMar>
              <w:top w:type="dxa" w:w="100"/>
              <w:left w:type="dxa" w:w="120"/>
              <w:bottom w:type="dxa" w:w="100"/>
              <w:right w:type="dxa" w:w="120"/>
            </w:tcMar>
          </w:tcPr>
          <w:p>
            <w:r>
              <w:rPr>
                <w:b w:val="false"/>
                <w:bCs w:val="false"/>
                <w:color w:val="000000"/>
                <w:sz w:val="20"/>
                <w:szCs w:val="20"/>
              </w:rPr>
              <w:t xml:space="preserve">A longitudinal profile of each worker's competency trends over their tenure.</w:t>
            </w:r>
          </w:p>
        </w:tc>
      </w:tr>
      <w:tr>
        <w:tc>
          <w:tcPr>
            <w:tcW w:type="dxa" w:w="3200"/>
            <w:tcMar>
              <w:top w:type="dxa" w:w="100"/>
              <w:left w:type="dxa" w:w="120"/>
              <w:bottom w:type="dxa" w:w="100"/>
              <w:right w:type="dxa" w:w="120"/>
            </w:tcMar>
          </w:tcPr>
          <w:p>
            <w:r>
              <w:rPr>
                <w:b w:val="false"/>
                <w:bCs w:val="false"/>
                <w:color w:val="000000"/>
                <w:sz w:val="20"/>
                <w:szCs w:val="20"/>
              </w:rPr>
              <w:t xml:space="preserve">Compliance Audit Log</w:t>
            </w:r>
          </w:p>
        </w:tc>
        <w:tc>
          <w:tcPr>
            <w:tcW w:type="dxa" w:w="6200"/>
            <w:tcMar>
              <w:top w:type="dxa" w:w="100"/>
              <w:left w:type="dxa" w:w="120"/>
              <w:bottom w:type="dxa" w:w="100"/>
              <w:right w:type="dxa" w:w="120"/>
            </w:tcMar>
          </w:tcPr>
          <w:p>
            <w:r>
              <w:rPr>
                <w:b w:val="false"/>
                <w:bCs w:val="false"/>
                <w:color w:val="000000"/>
                <w:sz w:val="20"/>
                <w:szCs w:val="20"/>
              </w:rPr>
              <w:t xml:space="preserve">Evidence-backed training records for ISO, factory safety, and labour audits.</w:t>
            </w:r>
          </w:p>
        </w:tc>
      </w:tr>
      <w:tr>
        <w:tc>
          <w:tcPr>
            <w:tcW w:type="dxa" w:w="3200"/>
            <w:shd w:fill="EAF1F3" w:val="clear"/>
            <w:tcMar>
              <w:top w:type="dxa" w:w="100"/>
              <w:left w:type="dxa" w:w="120"/>
              <w:bottom w:type="dxa" w:w="100"/>
              <w:right w:type="dxa" w:w="120"/>
            </w:tcMar>
          </w:tcPr>
          <w:p>
            <w:r>
              <w:rPr>
                <w:b w:val="false"/>
                <w:bCs w:val="false"/>
                <w:color w:val="000000"/>
                <w:sz w:val="20"/>
                <w:szCs w:val="20"/>
              </w:rPr>
              <w:t xml:space="preserve">ROI Report</w:t>
            </w:r>
          </w:p>
        </w:tc>
        <w:tc>
          <w:tcPr>
            <w:tcW w:type="dxa" w:w="6200"/>
            <w:shd w:fill="EAF1F3" w:val="clear"/>
            <w:tcMar>
              <w:top w:type="dxa" w:w="100"/>
              <w:left w:type="dxa" w:w="120"/>
              <w:bottom w:type="dxa" w:w="100"/>
              <w:right w:type="dxa" w:w="120"/>
            </w:tcMar>
          </w:tcPr>
          <w:p>
            <w:r>
              <w:rPr>
                <w:b w:val="false"/>
                <w:bCs w:val="false"/>
                <w:color w:val="000000"/>
                <w:sz w:val="20"/>
                <w:szCs w:val="20"/>
              </w:rPr>
              <w:t xml:space="preserve">Monthly report linking skill interventions to defect reduction and cost savings.</w:t>
            </w:r>
          </w:p>
        </w:tc>
      </w:tr>
    </w:tbl>
    <w:p>
      <w:pPr>
        <w:pStyle w:val="Heading1"/>
        <w:pBdr>
          <w:bottom w:val="single" w:color="1F4E5F" w:sz="8" w:space="4"/>
        </w:pBdr>
        <w:spacing w:after="180" w:before="360"/>
      </w:pPr>
      <w:r>
        <w:rPr>
          <w:b/>
          <w:bCs/>
          <w:color w:val="1F4E5F"/>
          <w:sz w:val="30"/>
          <w:szCs w:val="30"/>
        </w:rPr>
        <w:t xml:space="preserve">7. System Overview</w:t>
      </w:r>
    </w:p>
    <w:p>
      <w:pPr>
        <w:spacing w:after="160" w:line="276"/>
        <w:jc w:val="both"/>
      </w:pPr>
      <w:r>
        <w:rPr>
          <w:sz w:val="22"/>
          <w:szCs w:val="22"/>
        </w:rPr>
        <w:t xml:space="preserve">The current repository (SkillDrift, formerly listed under the working name “craft-care-compass”) is implemented as a modern web application prototype:</w:t>
      </w:r>
    </w:p>
    <w:p>
      <w:pPr>
        <w:pStyle w:val="ListParagraph"/>
        <w:numPr>
          <w:ilvl w:val="0"/>
          <w:numId w:val="2"/>
        </w:numPr>
        <w:spacing w:after="80"/>
      </w:pPr>
      <w:r>
        <w:rPr>
          <w:sz w:val="22"/>
          <w:szCs w:val="22"/>
        </w:rPr>
        <w:t xml:space="preserve">Frontend: TypeScript-based single-page application built with Vite, using a component-driven UI (shadcn/ui-style components, indicated by the project's components.json configuration).</w:t>
      </w:r>
    </w:p>
    <w:p>
      <w:pPr>
        <w:pStyle w:val="ListParagraph"/>
        <w:numPr>
          <w:ilvl w:val="0"/>
          <w:numId w:val="2"/>
        </w:numPr>
        <w:spacing w:after="80"/>
      </w:pPr>
      <w:r>
        <w:rPr>
          <w:sz w:val="22"/>
          <w:szCs w:val="22"/>
        </w:rPr>
        <w:t xml:space="preserve">Styling: CSS utility-based styling layered on top of the component system.</w:t>
      </w:r>
    </w:p>
    <w:p>
      <w:pPr>
        <w:pStyle w:val="ListParagraph"/>
        <w:numPr>
          <w:ilvl w:val="0"/>
          <w:numId w:val="2"/>
        </w:numPr>
        <w:spacing w:after="80"/>
      </w:pPr>
      <w:r>
        <w:rPr>
          <w:sz w:val="22"/>
          <w:szCs w:val="22"/>
        </w:rPr>
        <w:t xml:space="preserve">Tooling: Bun as the package manager/runtime (bun.lock, bunfig.toml), with ESLint and Prettier configured for code quality and formatting consistency.</w:t>
      </w:r>
    </w:p>
    <w:p>
      <w:pPr>
        <w:pStyle w:val="ListParagraph"/>
        <w:numPr>
          <w:ilvl w:val="0"/>
          <w:numId w:val="2"/>
        </w:numPr>
        <w:spacing w:after="80"/>
      </w:pPr>
      <w:r>
        <w:rPr>
          <w:sz w:val="22"/>
          <w:szCs w:val="22"/>
        </w:rPr>
        <w:t xml:space="preserve">Scaffolding: built and iterated using the Lovable platform, which generates and manages the underlying React/TypeScript project structure.</w:t>
      </w:r>
    </w:p>
    <w:p>
      <w:pPr>
        <w:spacing w:after="160" w:line="276"/>
        <w:jc w:val="both"/>
      </w:pPr>
      <w:r>
        <w:rPr>
          <w:sz w:val="22"/>
          <w:szCs w:val="22"/>
        </w:rPr>
        <w:t xml:space="preserve">At this stage the repository primarily implements the front-end product surface — dashboards, alerting UI, and reporting views described in Section 6. The IoT adapter layer, skill-inference models, and backend data pipeline described in Sections 4.3 and 5 represent the next build phase.</w:t>
      </w:r>
    </w:p>
    <w:p>
      <w:pPr>
        <w:pStyle w:val="Heading1"/>
        <w:pBdr>
          <w:bottom w:val="single" w:color="1F4E5F" w:sz="8" w:space="4"/>
        </w:pBdr>
        <w:spacing w:after="180" w:before="360"/>
      </w:pPr>
      <w:r>
        <w:rPr>
          <w:b/>
          <w:bCs/>
          <w:color w:val="1F4E5F"/>
          <w:sz w:val="30"/>
          <w:szCs w:val="30"/>
        </w:rPr>
        <w:t xml:space="preserve">8. Target Users &amp; Stakeholders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5F" w:val="clear"/>
            <w:tcMar>
              <w:top w:type="dxa" w:w="100"/>
              <w:left w:type="dxa" w:w="120"/>
              <w:bottom w:type="dxa" w:w="100"/>
              <w:right w:type="dxa" w:w="120"/>
            </w:tcMar>
          </w:tcPr>
          <w:p>
            <w:r>
              <w:rPr>
                <w:b/>
                <w:bCs/>
                <w:color w:val="FFFFFF"/>
                <w:sz w:val="20"/>
                <w:szCs w:val="20"/>
              </w:rPr>
              <w:t xml:space="preserve">Stakeholder</w:t>
            </w:r>
          </w:p>
        </w:tc>
        <w:tc>
          <w:tcPr>
            <w:tcW w:type="dxa" w:w="6200"/>
            <w:shd w:fill="1F4E5F" w:val="clear"/>
            <w:tcMar>
              <w:top w:type="dxa" w:w="100"/>
              <w:left w:type="dxa" w:w="120"/>
              <w:bottom w:type="dxa" w:w="100"/>
              <w:right w:type="dxa" w:w="120"/>
            </w:tcMar>
          </w:tcPr>
          <w:p>
            <w:r>
              <w:rPr>
                <w:b/>
                <w:bCs/>
                <w:color w:val="FFFFFF"/>
                <w:sz w:val="20"/>
                <w:szCs w:val="20"/>
              </w:rPr>
              <w:t xml:space="preserve">How SkillDrift serves them</w:t>
            </w:r>
          </w:p>
        </w:tc>
      </w:tr>
      <w:tr>
        <w:tc>
          <w:tcPr>
            <w:tcW w:type="dxa" w:w="3200"/>
            <w:tcMar>
              <w:top w:type="dxa" w:w="100"/>
              <w:left w:type="dxa" w:w="120"/>
              <w:bottom w:type="dxa" w:w="100"/>
              <w:right w:type="dxa" w:w="120"/>
            </w:tcMar>
          </w:tcPr>
          <w:p>
            <w:r>
              <w:rPr>
                <w:b w:val="false"/>
                <w:bCs w:val="false"/>
                <w:color w:val="000000"/>
                <w:sz w:val="20"/>
                <w:szCs w:val="20"/>
              </w:rPr>
              <w:t xml:space="preserve">Plant / Operations Head</w:t>
            </w:r>
          </w:p>
        </w:tc>
        <w:tc>
          <w:tcPr>
            <w:tcW w:type="dxa" w:w="6200"/>
            <w:tcMar>
              <w:top w:type="dxa" w:w="100"/>
              <w:left w:type="dxa" w:w="120"/>
              <w:bottom w:type="dxa" w:w="100"/>
              <w:right w:type="dxa" w:w="120"/>
            </w:tcMar>
          </w:tcPr>
          <w:p>
            <w:r>
              <w:rPr>
                <w:b w:val="false"/>
                <w:bCs w:val="false"/>
                <w:color w:val="000000"/>
                <w:sz w:val="20"/>
                <w:szCs w:val="20"/>
              </w:rPr>
              <w:t xml:space="preserve">Sees prevented losses and workforce competency at a glance; owns the renewal decision.</w:t>
            </w:r>
          </w:p>
        </w:tc>
      </w:tr>
      <w:tr>
        <w:tc>
          <w:tcPr>
            <w:tcW w:type="dxa" w:w="3200"/>
            <w:shd w:fill="EAF1F3" w:val="clear"/>
            <w:tcMar>
              <w:top w:type="dxa" w:w="100"/>
              <w:left w:type="dxa" w:w="120"/>
              <w:bottom w:type="dxa" w:w="100"/>
              <w:right w:type="dxa" w:w="120"/>
            </w:tcMar>
          </w:tcPr>
          <w:p>
            <w:r>
              <w:rPr>
                <w:b w:val="false"/>
                <w:bCs w:val="false"/>
                <w:color w:val="000000"/>
                <w:sz w:val="20"/>
                <w:szCs w:val="20"/>
              </w:rPr>
              <w:t xml:space="preserve">Line Supervisors</w:t>
            </w:r>
          </w:p>
        </w:tc>
        <w:tc>
          <w:tcPr>
            <w:tcW w:type="dxa" w:w="6200"/>
            <w:shd w:fill="EAF1F3" w:val="clear"/>
            <w:tcMar>
              <w:top w:type="dxa" w:w="100"/>
              <w:left w:type="dxa" w:w="120"/>
              <w:bottom w:type="dxa" w:w="100"/>
              <w:right w:type="dxa" w:w="120"/>
            </w:tcMar>
          </w:tcPr>
          <w:p>
            <w:r>
              <w:rPr>
                <w:b w:val="false"/>
                <w:bCs w:val="false"/>
                <w:color w:val="000000"/>
                <w:sz w:val="20"/>
                <w:szCs w:val="20"/>
              </w:rPr>
              <w:t xml:space="preserve">Receive real-time drift alerts and can act before a shift produces defective output.</w:t>
            </w:r>
          </w:p>
        </w:tc>
      </w:tr>
      <w:tr>
        <w:tc>
          <w:tcPr>
            <w:tcW w:type="dxa" w:w="3200"/>
            <w:tcMar>
              <w:top w:type="dxa" w:w="100"/>
              <w:left w:type="dxa" w:w="120"/>
              <w:bottom w:type="dxa" w:w="100"/>
              <w:right w:type="dxa" w:w="120"/>
            </w:tcMar>
          </w:tcPr>
          <w:p>
            <w:r>
              <w:rPr>
                <w:b w:val="false"/>
                <w:bCs w:val="false"/>
                <w:color w:val="000000"/>
                <w:sz w:val="20"/>
                <w:szCs w:val="20"/>
              </w:rPr>
              <w:t xml:space="preserve">Frontline Workers</w:t>
            </w:r>
          </w:p>
        </w:tc>
        <w:tc>
          <w:tcPr>
            <w:tcW w:type="dxa" w:w="6200"/>
            <w:tcMar>
              <w:top w:type="dxa" w:w="100"/>
              <w:left w:type="dxa" w:w="120"/>
              <w:bottom w:type="dxa" w:w="100"/>
              <w:right w:type="dxa" w:w="120"/>
            </w:tcMar>
          </w:tcPr>
          <w:p>
            <w:r>
              <w:rPr>
                <w:b w:val="false"/>
                <w:bCs w:val="false"/>
                <w:color w:val="000000"/>
                <w:sz w:val="20"/>
                <w:szCs w:val="20"/>
              </w:rPr>
              <w:t xml:space="preserve">Receive short, relevant training in their own language instead of long blanket refreshers.</w:t>
            </w:r>
          </w:p>
        </w:tc>
      </w:tr>
      <w:tr>
        <w:tc>
          <w:tcPr>
            <w:tcW w:type="dxa" w:w="3200"/>
            <w:shd w:fill="EAF1F3" w:val="clear"/>
            <w:tcMar>
              <w:top w:type="dxa" w:w="100"/>
              <w:left w:type="dxa" w:w="120"/>
              <w:bottom w:type="dxa" w:w="100"/>
              <w:right w:type="dxa" w:w="120"/>
            </w:tcMar>
          </w:tcPr>
          <w:p>
            <w:r>
              <w:rPr>
                <w:b w:val="false"/>
                <w:bCs w:val="false"/>
                <w:color w:val="000000"/>
                <w:sz w:val="20"/>
                <w:szCs w:val="20"/>
              </w:rPr>
              <w:t xml:space="preserve">Quality / Compliance Teams</w:t>
            </w:r>
          </w:p>
        </w:tc>
        <w:tc>
          <w:tcPr>
            <w:tcW w:type="dxa" w:w="6200"/>
            <w:shd w:fill="EAF1F3" w:val="clear"/>
            <w:tcMar>
              <w:top w:type="dxa" w:w="100"/>
              <w:left w:type="dxa" w:w="120"/>
              <w:bottom w:type="dxa" w:w="100"/>
              <w:right w:type="dxa" w:w="120"/>
            </w:tcMar>
          </w:tcPr>
          <w:p>
            <w:r>
              <w:rPr>
                <w:b w:val="false"/>
                <w:bCs w:val="false"/>
                <w:color w:val="000000"/>
                <w:sz w:val="20"/>
                <w:szCs w:val="20"/>
              </w:rPr>
              <w:t xml:space="preserve">Use the audit log for ISO and factory safety/labour compliance evidence.</w:t>
            </w:r>
          </w:p>
        </w:tc>
      </w:tr>
      <w:tr>
        <w:tc>
          <w:tcPr>
            <w:tcW w:type="dxa" w:w="3200"/>
            <w:tcMar>
              <w:top w:type="dxa" w:w="100"/>
              <w:left w:type="dxa" w:w="120"/>
              <w:bottom w:type="dxa" w:w="100"/>
              <w:right w:type="dxa" w:w="120"/>
            </w:tcMar>
          </w:tcPr>
          <w:p>
            <w:r>
              <w:rPr>
                <w:b w:val="false"/>
                <w:bCs w:val="false"/>
                <w:color w:val="000000"/>
                <w:sz w:val="20"/>
                <w:szCs w:val="20"/>
              </w:rPr>
              <w:t xml:space="preserve">ESG / Sustainability Teams</w:t>
            </w:r>
          </w:p>
        </w:tc>
        <w:tc>
          <w:tcPr>
            <w:tcW w:type="dxa" w:w="6200"/>
            <w:tcMar>
              <w:top w:type="dxa" w:w="100"/>
              <w:left w:type="dxa" w:w="120"/>
              <w:bottom w:type="dxa" w:w="100"/>
              <w:right w:type="dxa" w:w="120"/>
            </w:tcMar>
          </w:tcPr>
          <w:p>
            <w:r>
              <w:rPr>
                <w:b w:val="false"/>
                <w:bCs w:val="false"/>
                <w:color w:val="000000"/>
                <w:sz w:val="20"/>
                <w:szCs w:val="20"/>
              </w:rPr>
              <w:t xml:space="preserve">Report on reduced injuries, waste, and unnecessary retraining energy spend.</w:t>
            </w:r>
          </w:p>
        </w:tc>
      </w:tr>
    </w:tbl>
    <w:p>
      <w:pPr>
        <w:pStyle w:val="Heading1"/>
        <w:pBdr>
          <w:bottom w:val="single" w:color="1F4E5F" w:sz="8" w:space="4"/>
        </w:pBdr>
        <w:spacing w:after="180" w:before="360"/>
      </w:pPr>
      <w:r>
        <w:rPr>
          <w:b/>
          <w:bCs/>
          <w:color w:val="1F4E5F"/>
          <w:sz w:val="30"/>
          <w:szCs w:val="30"/>
        </w:rPr>
        <w:t xml:space="preserve">9. Impact &amp; Sustainability Angle</w:t>
      </w:r>
    </w:p>
    <w:p>
      <w:pPr>
        <w:pStyle w:val="ListParagraph"/>
        <w:numPr>
          <w:ilvl w:val="0"/>
          <w:numId w:val="2"/>
        </w:numPr>
        <w:spacing w:after="80"/>
      </w:pPr>
      <w:r>
        <w:rPr>
          <w:sz w:val="22"/>
          <w:szCs w:val="22"/>
        </w:rPr>
        <w:t xml:space="preserve">Fewer workplace injuries through earlier detection of competency gaps in safety-critical tasks.</w:t>
      </w:r>
    </w:p>
    <w:p>
      <w:pPr>
        <w:pStyle w:val="ListParagraph"/>
        <w:numPr>
          <w:ilvl w:val="0"/>
          <w:numId w:val="2"/>
        </w:numPr>
        <w:spacing w:after="80"/>
      </w:pPr>
      <w:r>
        <w:rPr>
          <w:sz w:val="22"/>
          <w:szCs w:val="22"/>
        </w:rPr>
        <w:t xml:space="preserve">Less material waste, since defective batches caused by skill drift are caught and corrected earlier.</w:t>
      </w:r>
    </w:p>
    <w:p>
      <w:pPr>
        <w:pStyle w:val="ListParagraph"/>
        <w:numPr>
          <w:ilvl w:val="0"/>
          <w:numId w:val="2"/>
        </w:numPr>
        <w:spacing w:after="80"/>
      </w:pPr>
      <w:r>
        <w:rPr>
          <w:sz w:val="22"/>
          <w:szCs w:val="22"/>
        </w:rPr>
        <w:t xml:space="preserve">Lower energy and productivity cost, since training is targeted rather than blanket, reducing unnecessary retraining hours across an entire shift.</w:t>
      </w:r>
    </w:p>
    <w:p>
      <w:pPr>
        <w:pStyle w:val="Heading1"/>
        <w:pBdr>
          <w:bottom w:val="single" w:color="1F4E5F" w:sz="8" w:space="4"/>
        </w:pBdr>
        <w:spacing w:after="180" w:before="360"/>
      </w:pPr>
      <w:r>
        <w:rPr>
          <w:b/>
          <w:bCs/>
          <w:color w:val="1F4E5F"/>
          <w:sz w:val="30"/>
          <w:szCs w:val="30"/>
        </w:rPr>
        <w:t xml:space="preserve">10. Challenges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shd w:fill="1F4E5F" w:val="clear"/>
            <w:tcMar>
              <w:top w:type="dxa" w:w="100"/>
              <w:left w:type="dxa" w:w="120"/>
              <w:bottom w:type="dxa" w:w="100"/>
              <w:right w:type="dxa" w:w="120"/>
            </w:tcMar>
          </w:tcPr>
          <w:p>
            <w:r>
              <w:rPr>
                <w:b/>
                <w:bCs/>
                <w:color w:val="FFFFFF"/>
                <w:sz w:val="20"/>
                <w:szCs w:val="20"/>
              </w:rPr>
              <w:t xml:space="preserve">Challenge</w:t>
            </w:r>
          </w:p>
        </w:tc>
        <w:tc>
          <w:tcPr>
            <w:tcW w:type="dxa" w:w="5600"/>
            <w:shd w:fill="1F4E5F" w:val="clear"/>
            <w:tcMar>
              <w:top w:type="dxa" w:w="100"/>
              <w:left w:type="dxa" w:w="120"/>
              <w:bottom w:type="dxa" w:w="100"/>
              <w:right w:type="dxa" w:w="120"/>
            </w:tcMar>
          </w:tcPr>
          <w:p>
            <w:r>
              <w:rPr>
                <w:b/>
                <w:bCs/>
                <w:color w:val="FFFFFF"/>
                <w:sz w:val="20"/>
                <w:szCs w:val="20"/>
              </w:rPr>
              <w:t xml:space="preserve">Approach</w:t>
            </w:r>
          </w:p>
        </w:tc>
      </w:tr>
      <w:tr>
        <w:tc>
          <w:tcPr>
            <w:tcW w:type="dxa" w:w="3800"/>
            <w:tcMar>
              <w:top w:type="dxa" w:w="100"/>
              <w:left w:type="dxa" w:w="120"/>
              <w:bottom w:type="dxa" w:w="100"/>
              <w:right w:type="dxa" w:w="120"/>
            </w:tcMar>
          </w:tcPr>
          <w:p>
            <w:r>
              <w:rPr>
                <w:b w:val="false"/>
                <w:bCs w:val="false"/>
                <w:color w:val="000000"/>
                <w:sz w:val="20"/>
                <w:szCs w:val="20"/>
              </w:rPr>
              <w:t xml:space="preserve">Hardware heterogeneity across factories (different PLCs/sensors)</w:t>
            </w:r>
          </w:p>
        </w:tc>
        <w:tc>
          <w:tcPr>
            <w:tcW w:type="dxa" w:w="5600"/>
            <w:tcMar>
              <w:top w:type="dxa" w:w="100"/>
              <w:left w:type="dxa" w:w="120"/>
              <w:bottom w:type="dxa" w:w="100"/>
              <w:right w:type="dxa" w:w="120"/>
            </w:tcMar>
          </w:tcPr>
          <w:p>
            <w:r>
              <w:rPr>
                <w:b w:val="false"/>
                <w:bCs w:val="false"/>
                <w:color w:val="000000"/>
                <w:sz w:val="20"/>
                <w:szCs w:val="20"/>
              </w:rPr>
              <w:t xml:space="preserve">Build a lightweight, hardware-agnostic adapter layer as the first engineering priority.</w:t>
            </w:r>
          </w:p>
        </w:tc>
      </w:tr>
      <w:tr>
        <w:tc>
          <w:tcPr>
            <w:tcW w:type="dxa" w:w="3800"/>
            <w:shd w:fill="EAF1F3" w:val="clear"/>
            <w:tcMar>
              <w:top w:type="dxa" w:w="100"/>
              <w:left w:type="dxa" w:w="120"/>
              <w:bottom w:type="dxa" w:w="100"/>
              <w:right w:type="dxa" w:w="120"/>
            </w:tcMar>
          </w:tcPr>
          <w:p>
            <w:r>
              <w:rPr>
                <w:b w:val="false"/>
                <w:bCs w:val="false"/>
                <w:color w:val="000000"/>
                <w:sz w:val="20"/>
                <w:szCs w:val="20"/>
              </w:rPr>
              <w:t xml:space="preserve">Cold-start problem — model needs data to be accurate</w:t>
            </w:r>
          </w:p>
        </w:tc>
        <w:tc>
          <w:tcPr>
            <w:tcW w:type="dxa" w:w="5600"/>
            <w:shd w:fill="EAF1F3" w:val="clear"/>
            <w:tcMar>
              <w:top w:type="dxa" w:w="100"/>
              <w:left w:type="dxa" w:w="120"/>
              <w:bottom w:type="dxa" w:w="100"/>
              <w:right w:type="dxa" w:w="120"/>
            </w:tcMar>
          </w:tcPr>
          <w:p>
            <w:r>
              <w:rPr>
                <w:b w:val="false"/>
                <w:bCs w:val="false"/>
                <w:color w:val="000000"/>
                <w:sz w:val="20"/>
                <w:szCs w:val="20"/>
              </w:rPr>
              <w:t xml:space="preserve">Combine sensor inference with periodic micro-assessments until enough historical baseline exists.</w:t>
            </w:r>
          </w:p>
        </w:tc>
      </w:tr>
      <w:tr>
        <w:tc>
          <w:tcPr>
            <w:tcW w:type="dxa" w:w="3800"/>
            <w:tcMar>
              <w:top w:type="dxa" w:w="100"/>
              <w:left w:type="dxa" w:w="120"/>
              <w:bottom w:type="dxa" w:w="100"/>
              <w:right w:type="dxa" w:w="120"/>
            </w:tcMar>
          </w:tcPr>
          <w:p>
            <w:r>
              <w:rPr>
                <w:b w:val="false"/>
                <w:bCs w:val="false"/>
                <w:color w:val="000000"/>
                <w:sz w:val="20"/>
                <w:szCs w:val="20"/>
              </w:rPr>
              <w:t xml:space="preserve">Worker trust / perception of surveillance</w:t>
            </w:r>
          </w:p>
        </w:tc>
        <w:tc>
          <w:tcPr>
            <w:tcW w:type="dxa" w:w="5600"/>
            <w:tcMar>
              <w:top w:type="dxa" w:w="100"/>
              <w:left w:type="dxa" w:w="120"/>
              <w:bottom w:type="dxa" w:w="100"/>
              <w:right w:type="dxa" w:w="120"/>
            </w:tcMar>
          </w:tcPr>
          <w:p>
            <w:r>
              <w:rPr>
                <w:b w:val="false"/>
                <w:bCs w:val="false"/>
                <w:color w:val="000000"/>
                <w:sz w:val="20"/>
                <w:szCs w:val="20"/>
              </w:rPr>
              <w:t xml:space="preserve">Frame the tool around support and training, not monitoring for punishment; keep interventions private and constructive.</w:t>
            </w:r>
          </w:p>
        </w:tc>
      </w:tr>
      <w:tr>
        <w:tc>
          <w:tcPr>
            <w:tcW w:type="dxa" w:w="3800"/>
            <w:shd w:fill="EAF1F3" w:val="clear"/>
            <w:tcMar>
              <w:top w:type="dxa" w:w="100"/>
              <w:left w:type="dxa" w:w="120"/>
              <w:bottom w:type="dxa" w:w="100"/>
              <w:right w:type="dxa" w:w="120"/>
            </w:tcMar>
          </w:tcPr>
          <w:p>
            <w:r>
              <w:rPr>
                <w:b w:val="false"/>
                <w:bCs w:val="false"/>
                <w:color w:val="000000"/>
                <w:sz w:val="20"/>
                <w:szCs w:val="20"/>
              </w:rPr>
              <w:t xml:space="preserve">Multilingual, low-literacy workforce</w:t>
            </w:r>
          </w:p>
        </w:tc>
        <w:tc>
          <w:tcPr>
            <w:tcW w:type="dxa" w:w="5600"/>
            <w:shd w:fill="EAF1F3" w:val="clear"/>
            <w:tcMar>
              <w:top w:type="dxa" w:w="100"/>
              <w:left w:type="dxa" w:w="120"/>
              <w:bottom w:type="dxa" w:w="100"/>
              <w:right w:type="dxa" w:w="120"/>
            </w:tcMar>
          </w:tcPr>
          <w:p>
            <w:r>
              <w:rPr>
                <w:b w:val="false"/>
                <w:bCs w:val="false"/>
                <w:color w:val="000000"/>
                <w:sz w:val="20"/>
                <w:szCs w:val="20"/>
              </w:rPr>
              <w:t xml:space="preserve">Auto-generate micro-training content in the worker's own language, kept short and visual.</w:t>
            </w:r>
          </w:p>
        </w:tc>
      </w:tr>
      <w:tr>
        <w:tc>
          <w:tcPr>
            <w:tcW w:type="dxa" w:w="3800"/>
            <w:tcMar>
              <w:top w:type="dxa" w:w="100"/>
              <w:left w:type="dxa" w:w="120"/>
              <w:bottom w:type="dxa" w:w="100"/>
              <w:right w:type="dxa" w:w="120"/>
            </w:tcMar>
          </w:tcPr>
          <w:p>
            <w:r>
              <w:rPr>
                <w:b w:val="false"/>
                <w:bCs w:val="false"/>
                <w:color w:val="000000"/>
                <w:sz w:val="20"/>
                <w:szCs w:val="20"/>
              </w:rPr>
              <w:t xml:space="preserve">Proving ROI early to land first customers</w:t>
            </w:r>
          </w:p>
        </w:tc>
        <w:tc>
          <w:tcPr>
            <w:tcW w:type="dxa" w:w="5600"/>
            <w:tcMar>
              <w:top w:type="dxa" w:w="100"/>
              <w:left w:type="dxa" w:w="120"/>
              <w:bottom w:type="dxa" w:w="100"/>
              <w:right w:type="dxa" w:w="120"/>
            </w:tcMar>
          </w:tcPr>
          <w:p>
            <w:r>
              <w:rPr>
                <w:b w:val="false"/>
                <w:bCs w:val="false"/>
                <w:color w:val="000000"/>
                <w:sz w:val="20"/>
                <w:szCs w:val="20"/>
              </w:rPr>
              <w:t xml:space="preserve">Monthly ROI report ties interventions directly to defect reduction and cost savings from day one.</w:t>
            </w:r>
          </w:p>
        </w:tc>
      </w:tr>
    </w:tbl>
    <w:p>
      <w:pPr>
        <w:pStyle w:val="Heading1"/>
        <w:pBdr>
          <w:bottom w:val="single" w:color="1F4E5F" w:sz="8" w:space="4"/>
        </w:pBdr>
        <w:spacing w:after="180" w:before="360"/>
      </w:pPr>
      <w:r>
        <w:rPr>
          <w:b/>
          <w:bCs/>
          <w:color w:val="1F4E5F"/>
          <w:sz w:val="30"/>
          <w:szCs w:val="30"/>
        </w:rPr>
        <w:t xml:space="preserve">11. Current Status &amp; Next Steps</w:t>
      </w:r>
    </w:p>
    <w:p>
      <w:pPr>
        <w:pStyle w:val="ListParagraph"/>
        <w:numPr>
          <w:ilvl w:val="0"/>
          <w:numId w:val="2"/>
        </w:numPr>
        <w:spacing w:after="80"/>
      </w:pPr>
      <w:r>
        <w:rPr>
          <w:sz w:val="22"/>
          <w:szCs w:val="22"/>
        </w:rPr>
        <w:t xml:space="preserve">Status: front-end product prototype (dashboards, alerts UI, reporting views) scaffolded and under active development.</w:t>
      </w:r>
    </w:p>
    <w:p>
      <w:pPr>
        <w:pStyle w:val="ListParagraph"/>
        <w:numPr>
          <w:ilvl w:val="0"/>
          <w:numId w:val="2"/>
        </w:numPr>
        <w:spacing w:after="80"/>
      </w:pPr>
      <w:r>
        <w:rPr>
          <w:sz w:val="22"/>
          <w:szCs w:val="22"/>
        </w:rPr>
        <w:t xml:space="preserve">Next: design and build the hardware-agnostic IoT/PLC adapter layer described in Section 4.3.</w:t>
      </w:r>
    </w:p>
    <w:p>
      <w:pPr>
        <w:pStyle w:val="ListParagraph"/>
        <w:numPr>
          <w:ilvl w:val="0"/>
          <w:numId w:val="2"/>
        </w:numPr>
        <w:spacing w:after="80"/>
      </w:pPr>
      <w:r>
        <w:rPr>
          <w:sz w:val="22"/>
          <w:szCs w:val="22"/>
        </w:rPr>
        <w:t xml:space="preserve">Next: define the skill-inference model and decay-threshold logic per skill category.</w:t>
      </w:r>
    </w:p>
    <w:p>
      <w:pPr>
        <w:pStyle w:val="ListParagraph"/>
        <w:numPr>
          <w:ilvl w:val="0"/>
          <w:numId w:val="2"/>
        </w:numPr>
        <w:spacing w:after="80"/>
      </w:pPr>
      <w:r>
        <w:rPr>
          <w:sz w:val="22"/>
          <w:szCs w:val="22"/>
        </w:rPr>
        <w:t xml:space="preserve">Next: pilot with a single factory partner to validate the sensor-to-skill correlation and calibrate the ROI report against real rework/defect data.</w:t>
      </w:r>
    </w:p>
    <w:p>
      <w:pPr>
        <w:pStyle w:val="Heading1"/>
        <w:pBdr>
          <w:bottom w:val="single" w:color="1F4E5F" w:sz="8" w:space="4"/>
        </w:pBdr>
        <w:spacing w:after="180" w:before="360"/>
      </w:pPr>
      <w:r>
        <w:rPr>
          <w:b/>
          <w:bCs/>
          <w:color w:val="1F4E5F"/>
          <w:sz w:val="30"/>
          <w:szCs w:val="30"/>
        </w:rPr>
        <w:t xml:space="preserve">12. Conclusion</w:t>
      </w:r>
    </w:p>
    <w:p>
      <w:pPr>
        <w:spacing w:after="160" w:line="276"/>
        <w:jc w:val="both"/>
      </w:pPr>
      <w:r>
        <w:rPr>
          <w:sz w:val="22"/>
          <w:szCs w:val="22"/>
        </w:rPr>
        <w:t xml:space="preserve">SkillDrift addresses a genuine, underserved gap: the industrial and skilled-trade workforce has largely been left out of the workforce-technology wave that reshaped white-collar work. By framing the product around loss prevention rather than feature addition, building a defensible data moat around factory-specific skill models, and solving the hardware-integration problem early, SkillDrift is positioned to become a sticky, high-renewal platform for manufacturing employers — while delivering measurable safety, quality, and sustainability benefits to the workers themselves.</w:t>
      </w:r>
    </w:p>
    <w:p>
      <w:pPr>
        <w:pStyle w:val="Heading1"/>
        <w:pBdr>
          <w:bottom w:val="single" w:color="1F4E5F" w:sz="8" w:space="4"/>
        </w:pBdr>
        <w:spacing w:after="180" w:before="360"/>
      </w:pPr>
      <w:r>
        <w:rPr>
          <w:b/>
          <w:bCs/>
          <w:color w:val="1F4E5F"/>
          <w:sz w:val="30"/>
          <w:szCs w:val="30"/>
        </w:rPr>
        <w:t xml:space="preserve">13. References</w:t>
      </w:r>
    </w:p>
    <w:p>
      <w:pPr>
        <w:spacing w:after="160" w:line="276"/>
        <w:jc w:val="both"/>
      </w:pPr>
      <w:r>
        <w:rPr>
          <w:color w:val="595959"/>
          <w:sz w:val="20"/>
          <w:szCs w:val="20"/>
        </w:rPr>
        <w:t xml:space="preserve">Project repository: https://github.com/Rishika1697/SkillDrift--internship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2026-07-03T15:25:34.913Z</dcterms:created>
  <dcterms:modified xsi:type="dcterms:W3CDTF">2026-07-03T15:25:34.913Z</dcterms:modified>
</cp:coreProperties>
</file>

<file path=docProps/custom.xml><?xml version="1.0" encoding="utf-8"?>
<Properties xmlns="http://schemas.openxmlformats.org/officeDocument/2006/custom-properties" xmlns:vt="http://schemas.openxmlformats.org/officeDocument/2006/docPropsVTypes"/>
</file>