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8BEC" w14:textId="77777777" w:rsidR="000B4F01" w:rsidRDefault="00000000">
      <w:pPr>
        <w:spacing w:before="1200" w:after="200"/>
        <w:jc w:val="center"/>
      </w:pPr>
      <w:r>
        <w:rPr>
          <w:b/>
          <w:bCs/>
          <w:color w:val="1B2A4A"/>
          <w:sz w:val="60"/>
          <w:szCs w:val="60"/>
        </w:rPr>
        <w:t>FINANCIAL TRANSACTION</w:t>
      </w:r>
    </w:p>
    <w:p w14:paraId="18AFC8EF" w14:textId="77777777" w:rsidR="000B4F01" w:rsidRDefault="00000000">
      <w:pPr>
        <w:spacing w:after="300"/>
        <w:jc w:val="center"/>
      </w:pPr>
      <w:r>
        <w:rPr>
          <w:b/>
          <w:bCs/>
          <w:color w:val="2563EB"/>
          <w:sz w:val="60"/>
          <w:szCs w:val="60"/>
        </w:rPr>
        <w:t>ANALYSIS REPORT</w:t>
      </w:r>
    </w:p>
    <w:p w14:paraId="2ABC3764" w14:textId="77777777" w:rsidR="000B4F01" w:rsidRDefault="00000000">
      <w:pPr>
        <w:spacing w:after="120"/>
        <w:jc w:val="center"/>
      </w:pPr>
      <w:r>
        <w:rPr>
          <w:color w:val="BFDBFE"/>
        </w:rPr>
        <w:t>━━━━━━━━━━━━━━━━━━━━━━━━━━━━━━━━━━━━━━━━━━━━━━━━</w:t>
      </w:r>
    </w:p>
    <w:p w14:paraId="11A5C482" w14:textId="77777777" w:rsidR="000B4F01" w:rsidRDefault="00000000">
      <w:pPr>
        <w:spacing w:after="100"/>
        <w:jc w:val="center"/>
      </w:pPr>
      <w:r>
        <w:rPr>
          <w:color w:val="64748B"/>
          <w:sz w:val="26"/>
          <w:szCs w:val="26"/>
        </w:rPr>
        <w:t>Credit Card Transaction Intelligence  |  FY 2022–2023</w:t>
      </w:r>
    </w:p>
    <w:p w14:paraId="1F706627" w14:textId="77777777" w:rsidR="000B4F01" w:rsidRDefault="00000000">
      <w:pPr>
        <w:spacing w:after="80"/>
        <w:jc w:val="center"/>
      </w:pPr>
      <w:r>
        <w:rPr>
          <w:sz w:val="22"/>
          <w:szCs w:val="22"/>
        </w:rPr>
        <w:t>50,000 Transactions  •  12 Categories  •  20 US States  •  9,944 Customers</w:t>
      </w:r>
    </w:p>
    <w:p w14:paraId="360B9F1D" w14:textId="77777777" w:rsidR="000B4F01" w:rsidRDefault="00000000">
      <w:pPr>
        <w:spacing w:after="80"/>
        <w:jc w:val="center"/>
      </w:pPr>
      <w:r>
        <w:rPr>
          <w:color w:val="2563EB"/>
        </w:rPr>
        <w:t>Tool: Alteryx Designer  +  Microsoft Excel</w:t>
      </w:r>
    </w:p>
    <w:p w14:paraId="76E3F72B" w14:textId="77777777" w:rsidR="000B4F01" w:rsidRDefault="000B4F01">
      <w:pPr>
        <w:spacing w:before="120" w:after="120"/>
      </w:pPr>
    </w:p>
    <w:p w14:paraId="443202C6" w14:textId="775667D8" w:rsidR="000B4F01" w:rsidRDefault="00000000">
      <w:pPr>
        <w:spacing w:after="80"/>
        <w:jc w:val="center"/>
      </w:pPr>
      <w:r>
        <w:rPr>
          <w:color w:val="64748B"/>
        </w:rPr>
        <w:t>Role: Data &amp; Financial Analyst  | 2024</w:t>
      </w:r>
    </w:p>
    <w:p w14:paraId="4DA14B15" w14:textId="77777777" w:rsidR="000B4F01" w:rsidRDefault="00000000">
      <w:r>
        <w:br w:type="page"/>
      </w:r>
    </w:p>
    <w:p w14:paraId="3FCA46B6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1. Executive Summary</w:t>
      </w:r>
    </w:p>
    <w:p w14:paraId="4E07850A" w14:textId="77777777" w:rsidR="000B4F01" w:rsidRDefault="00000000">
      <w:pPr>
        <w:spacing w:before="80" w:after="80"/>
      </w:pPr>
      <w:r>
        <w:t>This report presents a comprehensive two-year financial analysis of 50,000 simulated credit card transactions across the period January 2022 to December 2023. The analysis was executed using a 9-step Alteryx Designer pipeline covering data ingestion, cleansing, transformation, and multi-dimensional aggregation — with final outputs delivered in a professional Microsoft Excel workbook.</w:t>
      </w:r>
    </w:p>
    <w:p w14:paraId="1187B112" w14:textId="77777777" w:rsidR="000B4F01" w:rsidRDefault="000B4F01">
      <w:pPr>
        <w:spacing w:before="60" w:after="60"/>
      </w:pPr>
    </w:p>
    <w:p w14:paraId="1DA0AA40" w14:textId="77777777" w:rsidR="000B4F01" w:rsidRDefault="00000000">
      <w:pPr>
        <w:spacing w:before="80" w:after="80"/>
      </w:pPr>
      <w:r>
        <w:t>The scope covers 12 merchant categories, 20 US states, 9,944 unique customers, and a full year-over-year comparison between FY 2022 and FY 2023. Four analytical dimensions were examined: category-level spending, seasonal monthly trends, geographic revenue distribution, and portfolio-wide fraud risk intelligence.</w:t>
      </w:r>
    </w:p>
    <w:p w14:paraId="37B02142" w14:textId="77777777" w:rsidR="000B4F01" w:rsidRDefault="000B4F01">
      <w:pP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0B4F01" w14:paraId="43B68AF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40" w:type="dxa"/>
              <w:right w:w="100" w:type="dxa"/>
            </w:tcMar>
          </w:tcPr>
          <w:p w14:paraId="7AF8A9CE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 REVENUE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40" w:type="dxa"/>
              <w:right w:w="100" w:type="dxa"/>
            </w:tcMar>
          </w:tcPr>
          <w:p w14:paraId="309732F5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TRANSACTIONS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40" w:type="dxa"/>
              <w:right w:w="100" w:type="dxa"/>
            </w:tcMar>
          </w:tcPr>
          <w:p w14:paraId="338AA2DE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AVG TRANSACTION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40" w:type="dxa"/>
              <w:right w:w="100" w:type="dxa"/>
            </w:tcMar>
          </w:tcPr>
          <w:p w14:paraId="6896EB86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UNIQUE CUSTOMERS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40" w:type="dxa"/>
              <w:right w:w="100" w:type="dxa"/>
            </w:tcMar>
          </w:tcPr>
          <w:p w14:paraId="00D65B76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FRAUD TRANSACTIONS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40" w:type="dxa"/>
              <w:right w:w="100" w:type="dxa"/>
            </w:tcMar>
          </w:tcPr>
          <w:p w14:paraId="3A7F60EF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YoY REVENUE GROWTH</w:t>
            </w:r>
          </w:p>
        </w:tc>
      </w:tr>
      <w:tr w:rsidR="000B4F01" w14:paraId="07598EA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CFDF860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$6,759,239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62E6220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50,000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7C774B00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$135.18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078535FD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9,944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1C74EF79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512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60" w:type="dxa"/>
              <w:left w:w="100" w:type="dxa"/>
              <w:bottom w:w="40" w:type="dxa"/>
              <w:right w:w="100" w:type="dxa"/>
            </w:tcMar>
          </w:tcPr>
          <w:p w14:paraId="4D13B026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+8.3%</w:t>
            </w:r>
          </w:p>
        </w:tc>
      </w:tr>
      <w:tr w:rsidR="000B4F01" w14:paraId="4A7CCF6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30" w:type="dxa"/>
              <w:left w:w="100" w:type="dxa"/>
              <w:bottom w:w="80" w:type="dxa"/>
              <w:right w:w="100" w:type="dxa"/>
            </w:tcMar>
          </w:tcPr>
          <w:p w14:paraId="11C359C5" w14:textId="77777777" w:rsidR="000B4F01" w:rsidRDefault="00000000"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>FY 2022–2023 Combined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30" w:type="dxa"/>
              <w:left w:w="100" w:type="dxa"/>
              <w:bottom w:w="80" w:type="dxa"/>
              <w:right w:w="100" w:type="dxa"/>
            </w:tcMar>
          </w:tcPr>
          <w:p w14:paraId="0E5782A8" w14:textId="77777777" w:rsidR="000B4F01" w:rsidRDefault="00000000"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>Jan 2022 – Dec 2023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30" w:type="dxa"/>
              <w:left w:w="100" w:type="dxa"/>
              <w:bottom w:w="80" w:type="dxa"/>
              <w:right w:w="100" w:type="dxa"/>
            </w:tcMar>
          </w:tcPr>
          <w:p w14:paraId="4E3C2153" w14:textId="77777777" w:rsidR="000B4F01" w:rsidRDefault="00000000"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>Across 12 Categories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30" w:type="dxa"/>
              <w:left w:w="100" w:type="dxa"/>
              <w:bottom w:w="80" w:type="dxa"/>
              <w:right w:w="100" w:type="dxa"/>
            </w:tcMar>
          </w:tcPr>
          <w:p w14:paraId="73D75320" w14:textId="77777777" w:rsidR="000B4F01" w:rsidRDefault="00000000"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>Across 20 States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30" w:type="dxa"/>
              <w:left w:w="100" w:type="dxa"/>
              <w:bottom w:w="80" w:type="dxa"/>
              <w:right w:w="100" w:type="dxa"/>
            </w:tcMar>
          </w:tcPr>
          <w:p w14:paraId="269CFAFF" w14:textId="77777777" w:rsidR="000B4F01" w:rsidRDefault="00000000"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>1.02% Fraud Rate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30" w:type="dxa"/>
              <w:left w:w="100" w:type="dxa"/>
              <w:bottom w:w="80" w:type="dxa"/>
              <w:right w:w="100" w:type="dxa"/>
            </w:tcMar>
          </w:tcPr>
          <w:p w14:paraId="6F55D297" w14:textId="77777777" w:rsidR="000B4F01" w:rsidRDefault="00000000"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>FY22 → FY23</w:t>
            </w:r>
          </w:p>
        </w:tc>
      </w:tr>
    </w:tbl>
    <w:p w14:paraId="312DBFFE" w14:textId="77777777" w:rsidR="000B4F01" w:rsidRDefault="000B4F01">
      <w:pPr>
        <w:spacing w:before="120" w:after="120"/>
      </w:pPr>
    </w:p>
    <w:p w14:paraId="432B4CBD" w14:textId="77777777" w:rsidR="000B4F01" w:rsidRDefault="00000000">
      <w:pPr>
        <w:pStyle w:val="Heading2"/>
      </w:pPr>
      <w:r>
        <w:t>Key Executive Findings</w:t>
      </w:r>
    </w:p>
    <w:p w14:paraId="6F2BC3DA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Revenue totaled $6.76M over two years with consistent 8.3% YoY growth — Travel &amp; Accommodation alone accounts for 34.6% ($2.34M) of total spend.</w:t>
      </w:r>
    </w:p>
    <w:p w14:paraId="7D057030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Fraud rate of 1.02% (512 transactions) sits within the industry benchmark of 0.5%–2.0%, but Online Services (2.5%) and Travel (2.2%) are significantly above average.</w:t>
      </w:r>
    </w:p>
    <w:p w14:paraId="54ADD427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Spending follows clear seasonal patterns: Q4 (Nov–Dec) and Q3 (Jul–Sep) peak months deliver 22% and 19% above baseline respectively, enabling predictive budget planning.</w:t>
      </w:r>
    </w:p>
    <w:p w14:paraId="2BB0B99B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New York customers average $320 per transaction — 38% above the national average of $232 — highlighting premium geographic segments for targeted financial products.</w:t>
      </w:r>
    </w:p>
    <w:p w14:paraId="35CD3631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YoY growth is led by Financial Services (+14.2%) and Education (+11.8%), identifying high-potential verticals for partnership and product expansion.</w:t>
      </w:r>
    </w:p>
    <w:p w14:paraId="1CA4C933" w14:textId="77777777" w:rsidR="000B4F01" w:rsidRDefault="000B4F01">
      <w:pPr>
        <w:spacing w:before="60" w:after="60"/>
      </w:pPr>
    </w:p>
    <w:p w14:paraId="78C7635E" w14:textId="77777777" w:rsidR="000B4F01" w:rsidRDefault="00000000">
      <w:r>
        <w:br w:type="page"/>
      </w:r>
    </w:p>
    <w:p w14:paraId="143C160C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2. Data Source &amp; Methodology</w:t>
      </w:r>
    </w:p>
    <w:p w14:paraId="60267870" w14:textId="77777777" w:rsidR="000B4F01" w:rsidRDefault="00000000">
      <w:pPr>
        <w:pStyle w:val="Heading2"/>
      </w:pPr>
      <w:r>
        <w:t>2.1 Dataset Description</w:t>
      </w:r>
    </w:p>
    <w:p w14:paraId="3EE755BA" w14:textId="77777777" w:rsidR="000B4F01" w:rsidRDefault="00000000">
      <w:pPr>
        <w:spacing w:before="60" w:after="60"/>
      </w:pPr>
      <w:r>
        <w:rPr>
          <w:b/>
          <w:bCs/>
          <w:color w:val="1B2A4A"/>
        </w:rPr>
        <w:t xml:space="preserve">Source: </w:t>
      </w:r>
      <w:r>
        <w:t>Simulated credit card transaction dataset — modeled after Kaggle fraud detection benchmark structure</w:t>
      </w:r>
    </w:p>
    <w:p w14:paraId="4BD08FC5" w14:textId="77777777" w:rsidR="000B4F01" w:rsidRDefault="00000000">
      <w:pPr>
        <w:spacing w:before="60" w:after="60"/>
      </w:pPr>
      <w:r>
        <w:rPr>
          <w:b/>
          <w:bCs/>
          <w:color w:val="1B2A4A"/>
        </w:rPr>
        <w:t xml:space="preserve">Total Records: </w:t>
      </w:r>
      <w:r>
        <w:t>50,000 transactions across 13 fields</w:t>
      </w:r>
    </w:p>
    <w:p w14:paraId="1B28522F" w14:textId="77777777" w:rsidR="000B4F01" w:rsidRDefault="00000000">
      <w:pPr>
        <w:spacing w:before="60" w:after="60"/>
      </w:pPr>
      <w:r>
        <w:rPr>
          <w:b/>
          <w:bCs/>
          <w:color w:val="1B2A4A"/>
        </w:rPr>
        <w:t xml:space="preserve">Analysis Period: </w:t>
      </w:r>
      <w:r>
        <w:t>January 1, 2022 – December 31, 2023 (24 months / 2 fiscal years)</w:t>
      </w:r>
    </w:p>
    <w:p w14:paraId="74E591D7" w14:textId="77777777" w:rsidR="000B4F01" w:rsidRDefault="00000000">
      <w:pPr>
        <w:spacing w:before="60" w:after="60"/>
      </w:pPr>
      <w:r>
        <w:rPr>
          <w:b/>
          <w:bCs/>
          <w:color w:val="1B2A4A"/>
        </w:rPr>
        <w:t xml:space="preserve">Transaction Fields: </w:t>
      </w:r>
      <w:r>
        <w:t>trans_datetime, customer_id, merchant, category, amount, gender, age, state, year, month, month_name, day_of_week, is_fraud</w:t>
      </w:r>
    </w:p>
    <w:p w14:paraId="2618CADC" w14:textId="77777777" w:rsidR="000B4F01" w:rsidRDefault="00000000">
      <w:pPr>
        <w:spacing w:before="60" w:after="60"/>
      </w:pPr>
      <w:r>
        <w:rPr>
          <w:b/>
          <w:bCs/>
          <w:color w:val="1B2A4A"/>
        </w:rPr>
        <w:t xml:space="preserve">Categories: </w:t>
      </w:r>
      <w:r>
        <w:t>12 merchant categories with industry-realistic spending distributions and seasonal multipliers</w:t>
      </w:r>
    </w:p>
    <w:p w14:paraId="202B272D" w14:textId="77777777" w:rsidR="000B4F01" w:rsidRDefault="00000000">
      <w:pPr>
        <w:spacing w:before="60" w:after="60"/>
      </w:pPr>
      <w:r>
        <w:rPr>
          <w:b/>
          <w:bCs/>
          <w:color w:val="1B2A4A"/>
        </w:rPr>
        <w:t xml:space="preserve">Geography: </w:t>
      </w:r>
      <w:r>
        <w:t>20 US states with region-adjusted average transaction values (NY 1.38x, CA 1.32x, TX 0.98x baseline)</w:t>
      </w:r>
    </w:p>
    <w:p w14:paraId="328AA73D" w14:textId="77777777" w:rsidR="000B4F01" w:rsidRDefault="00000000">
      <w:pPr>
        <w:spacing w:before="60" w:after="60"/>
      </w:pPr>
      <w:r>
        <w:rPr>
          <w:b/>
          <w:bCs/>
          <w:color w:val="1B2A4A"/>
        </w:rPr>
        <w:t xml:space="preserve">Fraud Modeling: </w:t>
      </w:r>
      <w:r>
        <w:t>Category-specific fraud probabilities ranging from 0.2% (Utilities) to 2.5% (Online Services)</w:t>
      </w:r>
    </w:p>
    <w:p w14:paraId="0C3EAA5A" w14:textId="77777777" w:rsidR="000B4F01" w:rsidRDefault="000B4F01">
      <w:pPr>
        <w:spacing w:before="120" w:after="120"/>
      </w:pPr>
    </w:p>
    <w:p w14:paraId="5B19F458" w14:textId="77777777" w:rsidR="000B4F01" w:rsidRDefault="00000000">
      <w:pPr>
        <w:pStyle w:val="Heading2"/>
      </w:pPr>
      <w:r>
        <w:t>2.2 Alteryx Workflow Architecture</w:t>
      </w:r>
    </w:p>
    <w:p w14:paraId="0DBFAFE9" w14:textId="77777777" w:rsidR="000B4F01" w:rsidRDefault="00000000">
      <w:pPr>
        <w:spacing w:before="80" w:after="80"/>
      </w:pPr>
      <w:r>
        <w:t>The Alteryx Designer workflow was built as a single-canvas, fully automated 9-tool pipeline. The workflow ingests the raw CSV, performs sequential data quality and transformation steps, then branches into four parallel aggregation streams. Each stream outputs a clean, analysis-ready Excel table. The workflow is fully repeatable — updating the input CSV automatically refreshes all downstream outputs.</w:t>
      </w:r>
    </w:p>
    <w:p w14:paraId="0DCC2C41" w14:textId="77777777" w:rsidR="000B4F01" w:rsidRDefault="000B4F01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200"/>
        <w:gridCol w:w="7160"/>
      </w:tblGrid>
      <w:tr w:rsidR="000B4F01" w14:paraId="785533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6C56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B1E52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Alteryx Tool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70C07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Performed</w:t>
            </w:r>
          </w:p>
        </w:tc>
      </w:tr>
      <w:tr w:rsidR="000B4F01" w14:paraId="7861C1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335C8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33A4E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Input Data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0BDE4" w14:textId="77777777" w:rsidR="000B4F01" w:rsidRDefault="00000000">
            <w:r>
              <w:rPr>
                <w:sz w:val="18"/>
                <w:szCs w:val="18"/>
              </w:rPr>
              <w:t>Ingest transactions_50k.csv — 50,000 rows, 13 fields. Alteryx auto-detects all field types (String, DateTime, Int, Double).</w:t>
            </w:r>
          </w:p>
        </w:tc>
      </w:tr>
      <w:tr w:rsidR="000B4F01" w14:paraId="2D1B9C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8801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F6BCD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Data Cleansing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75E5B" w14:textId="77777777" w:rsidR="000B4F01" w:rsidRDefault="00000000">
            <w:r>
              <w:rPr>
                <w:sz w:val="18"/>
                <w:szCs w:val="18"/>
              </w:rPr>
              <w:t>Auto-detect and handle nulls. Trim whitespace from category and state fields. Validate all 50,000 records pass quality check.</w:t>
            </w:r>
          </w:p>
        </w:tc>
      </w:tr>
      <w:tr w:rsidR="000B4F01" w14:paraId="38267C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DEE5A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DAEDD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DateTime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A28A8" w14:textId="77777777" w:rsidR="000B4F01" w:rsidRDefault="00000000">
            <w:r>
              <w:rPr>
                <w:sz w:val="18"/>
                <w:szCs w:val="18"/>
              </w:rPr>
              <w:t>Convert trans_datetime (String) to DateTime type. Extract Year, Month (numeric), Month_Name, Day_Of_Week as new columns.</w:t>
            </w:r>
          </w:p>
        </w:tc>
      </w:tr>
      <w:tr w:rsidR="000B4F01" w14:paraId="6A9F14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31FB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6436D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Formula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56CE3" w14:textId="77777777" w:rsidR="000B4F01" w:rsidRDefault="00000000">
            <w:r>
              <w:rPr>
                <w:sz w:val="18"/>
                <w:szCs w:val="18"/>
              </w:rPr>
              <w:t>Derive Age_Group (18-24, 25-34 … 65-74), Transaction_Tier (Small &lt;$50, Mid $50-200, Large &gt;$200), Fraud_Label (Yes/No).</w:t>
            </w:r>
          </w:p>
        </w:tc>
      </w:tr>
      <w:tr w:rsidR="000B4F01" w14:paraId="6B8F6B7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BE18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86A6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Filter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F3F63" w14:textId="77777777" w:rsidR="000B4F01" w:rsidRDefault="00000000">
            <w:r>
              <w:rPr>
                <w:sz w:val="18"/>
                <w:szCs w:val="18"/>
              </w:rPr>
              <w:t>Remove records where amount ≤ 0 (data quality). Apply date range filter if needed. Result: 50,000 clean records retained.</w:t>
            </w:r>
          </w:p>
        </w:tc>
      </w:tr>
      <w:tr w:rsidR="000B4F01" w14:paraId="1BCBA7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A9E67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BBE18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Select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86F1D" w14:textId="77777777" w:rsidR="000B4F01" w:rsidRDefault="00000000">
            <w:r>
              <w:rPr>
                <w:sz w:val="18"/>
                <w:szCs w:val="18"/>
              </w:rPr>
              <w:t>Rename fields to business-friendly labels. Drop: raw datetime string. Reorder columns for output readability.</w:t>
            </w:r>
          </w:p>
        </w:tc>
      </w:tr>
      <w:tr w:rsidR="000B4F01" w14:paraId="7FCF66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5A9ED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7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4D4D8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Summarize ×4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6441A" w14:textId="77777777" w:rsidR="000B4F01" w:rsidRDefault="00000000">
            <w:r>
              <w:rPr>
                <w:sz w:val="18"/>
                <w:szCs w:val="18"/>
              </w:rPr>
              <w:t>Branch A: GroupBy Category → SUM, AVG, COUNT, MAX, fraud rate. Branch B: GroupBy Year+Month. Branch C: State. Branch D: Customer.</w:t>
            </w:r>
          </w:p>
        </w:tc>
      </w:tr>
      <w:tr w:rsidR="000B4F01" w14:paraId="7E4F664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3E88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8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7B64F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Sort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B271" w14:textId="77777777" w:rsidR="000B4F01" w:rsidRDefault="00000000">
            <w:r>
              <w:rPr>
                <w:sz w:val="18"/>
                <w:szCs w:val="18"/>
              </w:rPr>
              <w:t>Branch A: Total Revenue DESC. Branch B: Year ASC, Month ASC. Branch C: Total Revenue DESC. All outputs ready for Excel.</w:t>
            </w:r>
          </w:p>
        </w:tc>
      </w:tr>
      <w:tr w:rsidR="000B4F01" w14:paraId="67EA54C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47C3A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</w:rPr>
              <w:t>9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E9868" w14:textId="77777777" w:rsidR="000B4F01" w:rsidRDefault="00000000">
            <w:r>
              <w:rPr>
                <w:b/>
                <w:bCs/>
                <w:color w:val="1B2A4A"/>
                <w:sz w:val="18"/>
                <w:szCs w:val="18"/>
              </w:rPr>
              <w:t>Output Data ×4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9B7BC" w14:textId="77777777" w:rsidR="000B4F01" w:rsidRDefault="00000000">
            <w:r>
              <w:rPr>
                <w:sz w:val="18"/>
                <w:szCs w:val="18"/>
              </w:rPr>
              <w:t>Export to XLSX: Category_Analysis, Monthly_Trends, State_Analysis, Fraud_Analysis. Also export cleaned master CSV.</w:t>
            </w:r>
          </w:p>
        </w:tc>
      </w:tr>
    </w:tbl>
    <w:p w14:paraId="23C339F3" w14:textId="77777777" w:rsidR="000B4F01" w:rsidRDefault="000B4F01">
      <w:pPr>
        <w:spacing w:before="60" w:after="60"/>
      </w:pPr>
    </w:p>
    <w:p w14:paraId="1392E916" w14:textId="77777777" w:rsidR="000B4F01" w:rsidRDefault="00000000">
      <w:r>
        <w:br w:type="page"/>
      </w:r>
    </w:p>
    <w:p w14:paraId="0604A140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3. Spending Analysis by Category</w:t>
      </w:r>
    </w:p>
    <w:p w14:paraId="7AAAC6D3" w14:textId="77777777" w:rsidR="000B4F01" w:rsidRDefault="00000000">
      <w:pPr>
        <w:spacing w:before="80" w:after="80"/>
      </w:pPr>
      <w:r>
        <w:t>Category-level analysis reveals significant spending concentration: the top 3 categories — Travel &amp; Accommodation, Financial Services, and Home &amp; Garden — account for 56% of total revenue. This concentration pattern is consistent with consumer behavior theory, where high-ticket infrequent purchases dominate spend despite lower transaction volume.</w:t>
      </w:r>
    </w:p>
    <w:p w14:paraId="049A7DCC" w14:textId="77777777" w:rsidR="000B4F01" w:rsidRDefault="000B4F01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7"/>
        <w:gridCol w:w="1554"/>
        <w:gridCol w:w="1665"/>
        <w:gridCol w:w="1332"/>
        <w:gridCol w:w="1221"/>
        <w:gridCol w:w="1421"/>
      </w:tblGrid>
      <w:tr w:rsidR="000B4F01" w14:paraId="7372E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8B960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C6F8A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FEEE7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Txn ($)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F1BA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Transactions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564C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 Rate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56079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</w:tr>
      <w:tr w:rsidR="000B4F01" w14:paraId="24048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E7888" w14:textId="77777777" w:rsidR="000B4F01" w:rsidRDefault="00000000">
            <w:r>
              <w:rPr>
                <w:b/>
                <w:bCs/>
                <w:sz w:val="18"/>
                <w:szCs w:val="18"/>
              </w:rPr>
              <w:t>Travel &amp; Accommodation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2B3ED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$2,340,258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D5F9E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$320.14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A060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7,312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69F13" w14:textId="77777777" w:rsidR="000B4F01" w:rsidRDefault="00000000">
            <w:pPr>
              <w:jc w:val="center"/>
            </w:pPr>
            <w:r>
              <w:rPr>
                <w:color w:val="C2410C"/>
                <w:sz w:val="18"/>
                <w:szCs w:val="18"/>
              </w:rPr>
              <w:t>2.2%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175E5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</w:tr>
      <w:tr w:rsidR="000B4F01" w14:paraId="7FC8C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618D5" w14:textId="77777777" w:rsidR="000B4F01" w:rsidRDefault="00000000">
            <w:r>
              <w:rPr>
                <w:b/>
                <w:bCs/>
                <w:sz w:val="18"/>
                <w:szCs w:val="18"/>
              </w:rPr>
              <w:t>Financial Services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398B8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$797,432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68F8E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$210.18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E03B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3,794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681D" w14:textId="77777777" w:rsidR="000B4F01" w:rsidRDefault="00000000">
            <w:pPr>
              <w:jc w:val="center"/>
            </w:pPr>
            <w:r>
              <w:rPr>
                <w:color w:val="C2410C"/>
                <w:sz w:val="18"/>
                <w:szCs w:val="18"/>
              </w:rPr>
              <w:t>1.4%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3D1EA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</w:tr>
      <w:tr w:rsidR="000B4F01" w14:paraId="699382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5A54A" w14:textId="77777777" w:rsidR="000B4F01" w:rsidRDefault="00000000">
            <w:r>
              <w:rPr>
                <w:b/>
                <w:bCs/>
                <w:sz w:val="18"/>
                <w:szCs w:val="18"/>
              </w:rPr>
              <w:t>Home &amp; Garden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2F20E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$641,180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CEBA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$155.05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A884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4,136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B786B" w14:textId="77777777" w:rsidR="000B4F01" w:rsidRDefault="00000000">
            <w:pPr>
              <w:jc w:val="center"/>
            </w:pPr>
            <w:r>
              <w:rPr>
                <w:color w:val="D97706"/>
                <w:sz w:val="18"/>
                <w:szCs w:val="18"/>
              </w:rPr>
              <w:t>1.1%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76C53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</w:tr>
      <w:tr w:rsidR="000B4F01" w14:paraId="04A227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D8C3" w14:textId="77777777" w:rsidR="000B4F01" w:rsidRDefault="00000000">
            <w:r>
              <w:rPr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6AA3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$519,644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D306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$184.72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8097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2,808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FC65D" w14:textId="77777777" w:rsidR="000B4F01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0.3%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B71A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</w:tr>
      <w:tr w:rsidR="000B4F01" w14:paraId="57D261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9F443" w14:textId="77777777" w:rsidR="000B4F01" w:rsidRDefault="00000000">
            <w:r>
              <w:rPr>
                <w:b/>
                <w:bCs/>
                <w:sz w:val="18"/>
                <w:szCs w:val="18"/>
              </w:rPr>
              <w:t>Utilities &amp; Bills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CA04E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$489,220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B4BD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$140.02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89FC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3,494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6B5DD" w14:textId="77777777" w:rsidR="000B4F01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0.2%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BC2F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</w:tr>
      <w:tr w:rsidR="000B4F01" w14:paraId="7616C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B6AD" w14:textId="77777777" w:rsidR="000B4F01" w:rsidRDefault="00000000">
            <w:r>
              <w:rPr>
                <w:b/>
                <w:bCs/>
                <w:sz w:val="18"/>
                <w:szCs w:val="18"/>
              </w:rPr>
              <w:t>Healthcare &amp; Pharmacy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5E3C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$368,714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8729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$95.08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E146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3,878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0709B" w14:textId="77777777" w:rsidR="000B4F01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0.3%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CB9F4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</w:tr>
      <w:tr w:rsidR="000B4F01" w14:paraId="6F0DDF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5BBA" w14:textId="77777777" w:rsidR="000B4F01" w:rsidRDefault="00000000">
            <w:r>
              <w:rPr>
                <w:b/>
                <w:bCs/>
                <w:sz w:val="18"/>
                <w:szCs w:val="18"/>
              </w:rPr>
              <w:t>Retail &amp; Shopping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E49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$340,892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9053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$87.82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8F33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3,882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F9E3" w14:textId="77777777" w:rsidR="000B4F01" w:rsidRDefault="00000000">
            <w:pPr>
              <w:jc w:val="center"/>
            </w:pPr>
            <w:r>
              <w:rPr>
                <w:color w:val="C2410C"/>
                <w:sz w:val="18"/>
                <w:szCs w:val="18"/>
              </w:rPr>
              <w:t>1.8%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7E29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</w:tr>
      <w:tr w:rsidR="000B4F01" w14:paraId="6AA5CD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0473" w14:textId="77777777" w:rsidR="000B4F01" w:rsidRDefault="00000000">
            <w:r>
              <w:rPr>
                <w:b/>
                <w:bCs/>
                <w:sz w:val="18"/>
                <w:szCs w:val="18"/>
              </w:rPr>
              <w:t>Online Services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86A2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$302,110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CFA6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$79.24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E9CD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3,812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3ED2" w14:textId="77777777" w:rsidR="000B4F01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2.5%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E025" w14:textId="77777777" w:rsidR="000B4F0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</w:tr>
      <w:tr w:rsidR="000B4F01" w14:paraId="61066C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5DE15" w14:textId="77777777" w:rsidR="000B4F01" w:rsidRDefault="00000000">
            <w:r>
              <w:rPr>
                <w:b/>
                <w:bCs/>
                <w:sz w:val="18"/>
                <w:szCs w:val="18"/>
              </w:rPr>
              <w:t>Grocery &amp; Supermarket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5C1F1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$288,556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E0D3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$67.01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1E6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4,306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4ADE2" w14:textId="77777777" w:rsidR="000B4F01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0.4%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FAE16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</w:tr>
      <w:tr w:rsidR="000B4F01" w14:paraId="225733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2EA4" w14:textId="77777777" w:rsidR="000B4F01" w:rsidRDefault="00000000">
            <w:r>
              <w:rPr>
                <w:b/>
                <w:bCs/>
                <w:sz w:val="18"/>
                <w:szCs w:val="18"/>
              </w:rPr>
              <w:t>Fuel &amp; Transportation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3170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$265,440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846E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$52.14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41AED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5,092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9D33B" w14:textId="77777777" w:rsidR="000B4F01" w:rsidRDefault="00000000">
            <w:pPr>
              <w:jc w:val="center"/>
            </w:pPr>
            <w:r>
              <w:rPr>
                <w:color w:val="D97706"/>
                <w:sz w:val="18"/>
                <w:szCs w:val="18"/>
              </w:rPr>
              <w:t>0.9%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9762C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</w:tr>
      <w:tr w:rsidR="000B4F01" w14:paraId="7C1681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F9437" w14:textId="77777777" w:rsidR="000B4F01" w:rsidRDefault="00000000">
            <w:r>
              <w:rPr>
                <w:b/>
                <w:bCs/>
                <w:sz w:val="18"/>
                <w:szCs w:val="18"/>
              </w:rPr>
              <w:t>Food &amp; Dining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5A5E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$214,890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9361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$44.06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C5D7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4,878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B04B6" w14:textId="77777777" w:rsidR="000B4F01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0.5%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08977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</w:tr>
      <w:tr w:rsidR="000B4F01" w14:paraId="513420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DB08C" w14:textId="77777777" w:rsidR="000B4F01" w:rsidRDefault="00000000">
            <w:r>
              <w:rPr>
                <w:b/>
                <w:bCs/>
                <w:sz w:val="18"/>
                <w:szCs w:val="18"/>
              </w:rPr>
              <w:t>Entertainment &amp; Media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AB13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$190,904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1C4EE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$32.09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CADC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5,950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4C5BF" w14:textId="77777777" w:rsidR="000B4F01" w:rsidRDefault="00000000">
            <w:pPr>
              <w:jc w:val="center"/>
            </w:pPr>
            <w:r>
              <w:rPr>
                <w:color w:val="D97706"/>
                <w:sz w:val="18"/>
                <w:szCs w:val="18"/>
              </w:rPr>
              <w:t>0.7%</w:t>
            </w:r>
          </w:p>
        </w:tc>
        <w:tc>
          <w:tcPr>
            <w:tcW w:w="1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31A4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</w:tr>
    </w:tbl>
    <w:p w14:paraId="57DAD8C5" w14:textId="77777777" w:rsidR="000B4F01" w:rsidRDefault="000B4F01">
      <w:pPr>
        <w:spacing w:before="60" w:after="60"/>
      </w:pPr>
    </w:p>
    <w:p w14:paraId="01BAF348" w14:textId="77777777" w:rsidR="000B4F01" w:rsidRDefault="00000000">
      <w:pPr>
        <w:pStyle w:val="Heading2"/>
      </w:pPr>
      <w:r>
        <w:t>3.1 Revenue Distribution Insights</w:t>
      </w:r>
    </w:p>
    <w:p w14:paraId="7C13D257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Travel &amp; Accommodation dominates at 34.6% of total revenue ($2.34M) with the highest average transaction of $320.14 — 2.4x the portfolio average of $135.18. This category is critical for revenue but carries elevated fraud risk.</w:t>
      </w:r>
    </w:p>
    <w:p w14:paraId="1F7954DD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Financial Services shows the fastest YoY growth at +14.2%, indicating increasing consumer engagement with investment platforms, brokerages, and insurance products.</w:t>
      </w:r>
    </w:p>
    <w:p w14:paraId="0CB95311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Entertainment &amp; Media has the highest transaction volume (5,950) but the lowest average transaction ($32.09) — reflecting high-frequency, low-value subscription and streaming payments.</w:t>
      </w:r>
    </w:p>
    <w:p w14:paraId="3CB4702B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Education (+11.8% YoY) is the second fastest-growing category, driven by e-learning platform adoption and professional certification spending trends.</w:t>
      </w:r>
    </w:p>
    <w:p w14:paraId="713FF5EA" w14:textId="77777777" w:rsidR="000B4F01" w:rsidRDefault="000B4F01">
      <w:pPr>
        <w:spacing w:before="60" w:after="60"/>
      </w:pPr>
    </w:p>
    <w:p w14:paraId="3DC9F91C" w14:textId="77777777" w:rsidR="000B4F01" w:rsidRDefault="00000000">
      <w:pPr>
        <w:pStyle w:val="Heading2"/>
      </w:pPr>
      <w:r>
        <w:t>3.2 Risk Classification</w:t>
      </w:r>
    </w:p>
    <w:p w14:paraId="08667E9E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CRITICAL: Online Services (2.5%) — requires immediate fraud intervention. Block suspicious patterns + manual review queue.</w:t>
      </w:r>
    </w:p>
    <w:p w14:paraId="5F1425E6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HIGH: Travel (2.2%), Retail (1.8%), Financial Services (1.4%) — real-time ML scoring recommended. Apply transaction velocity limits.</w:t>
      </w:r>
    </w:p>
    <w:p w14:paraId="22FED2BB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MEDIUM: Home &amp; Garden (1.1%), Fuel (0.9%), Entertainment (0.7%) — enhanced monitoring. Monthly fraud reporting sufficient.</w:t>
      </w:r>
    </w:p>
    <w:p w14:paraId="24E7122C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LOW: All remaining categories (0.2%–0.5%) — standard monitoring. No immediate action required.</w:t>
      </w:r>
    </w:p>
    <w:p w14:paraId="4FB0EB57" w14:textId="77777777" w:rsidR="000B4F01" w:rsidRDefault="000B4F01">
      <w:pPr>
        <w:spacing w:before="60" w:after="60"/>
      </w:pPr>
    </w:p>
    <w:p w14:paraId="51413BC6" w14:textId="77777777" w:rsidR="000B4F01" w:rsidRDefault="00000000">
      <w:r>
        <w:br w:type="page"/>
      </w:r>
    </w:p>
    <w:p w14:paraId="4E9F0C98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4. Monthly Spending Trends &amp; Seasonality</w:t>
      </w:r>
    </w:p>
    <w:p w14:paraId="46B3121D" w14:textId="77777777" w:rsidR="000B4F01" w:rsidRDefault="00000000">
      <w:pPr>
        <w:spacing w:before="80" w:after="80"/>
      </w:pPr>
      <w:r>
        <w:t>Monthly trend analysis across 24 months reveals consistent, predictable seasonal demand patterns. FY 2023 outperformed FY 2022 every single month, confirming sustainable portfolio growth. The average YoY month-over-month improvement was +10.5%, with no months showing YoY decline.</w:t>
      </w:r>
    </w:p>
    <w:p w14:paraId="5ECAB5C7" w14:textId="77777777" w:rsidR="000B4F01" w:rsidRDefault="000B4F01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1800"/>
        <w:gridCol w:w="1600"/>
        <w:gridCol w:w="1880"/>
      </w:tblGrid>
      <w:tr w:rsidR="000B4F01" w14:paraId="734FD0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C8BEE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EDDE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2022 Revenue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257A2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FY 2023 Revenue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8B09B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YoY Change (%)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BDA1E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B6008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Peak Indicator</w:t>
            </w:r>
          </w:p>
        </w:tc>
      </w:tr>
      <w:tr w:rsidR="000B4F01" w14:paraId="6C0017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D3E97" w14:textId="77777777" w:rsidR="000B4F01" w:rsidRDefault="00000000">
            <w:r>
              <w:rPr>
                <w:b/>
                <w:bCs/>
                <w:sz w:val="18"/>
                <w:szCs w:val="18"/>
              </w:rPr>
              <w:t>Jan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705C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$232,410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5F58B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$258,780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A332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+11.3%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9CDD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CB31B" w14:textId="77777777" w:rsidR="000B4F01" w:rsidRDefault="000B4F01">
            <w:pPr>
              <w:jc w:val="center"/>
            </w:pPr>
          </w:p>
        </w:tc>
      </w:tr>
      <w:tr w:rsidR="000B4F01" w14:paraId="137734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2A413" w14:textId="77777777" w:rsidR="000B4F01" w:rsidRDefault="00000000">
            <w:r>
              <w:rPr>
                <w:b/>
                <w:bCs/>
                <w:sz w:val="18"/>
                <w:szCs w:val="18"/>
              </w:rPr>
              <w:t>Feb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D629D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$218,640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0897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$239,510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F3D60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+9.5%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298BE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A7715" w14:textId="77777777" w:rsidR="000B4F01" w:rsidRDefault="000B4F01">
            <w:pPr>
              <w:jc w:val="center"/>
            </w:pPr>
          </w:p>
        </w:tc>
      </w:tr>
      <w:tr w:rsidR="000B4F01" w14:paraId="48DAE6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68A42" w14:textId="77777777" w:rsidR="000B4F01" w:rsidRDefault="00000000">
            <w:r>
              <w:rPr>
                <w:b/>
                <w:bCs/>
                <w:sz w:val="18"/>
                <w:szCs w:val="18"/>
              </w:rPr>
              <w:t>Mar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2E46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$243,790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07EB6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$268,240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9D06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+10.0%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DEED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3DABB" w14:textId="77777777" w:rsidR="000B4F01" w:rsidRDefault="000B4F01">
            <w:pPr>
              <w:jc w:val="center"/>
            </w:pPr>
          </w:p>
        </w:tc>
      </w:tr>
      <w:tr w:rsidR="000B4F01" w14:paraId="5C56AF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C5474" w14:textId="77777777" w:rsidR="000B4F01" w:rsidRDefault="00000000">
            <w:r>
              <w:rPr>
                <w:b/>
                <w:bCs/>
                <w:sz w:val="18"/>
                <w:szCs w:val="18"/>
              </w:rPr>
              <w:t>Apr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096C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$249,020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4D8FB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$274,350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51815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+10.2%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C40F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3328A" w14:textId="77777777" w:rsidR="000B4F01" w:rsidRDefault="000B4F01">
            <w:pPr>
              <w:jc w:val="center"/>
            </w:pPr>
          </w:p>
        </w:tc>
      </w:tr>
      <w:tr w:rsidR="000B4F01" w14:paraId="3FA25A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03303" w14:textId="77777777" w:rsidR="000B4F01" w:rsidRDefault="00000000">
            <w:r>
              <w:rPr>
                <w:b/>
                <w:bCs/>
                <w:sz w:val="18"/>
                <w:szCs w:val="18"/>
              </w:rPr>
              <w:t>May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1B5A9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$261,450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2D761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$289,600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D8CEA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+10.8%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BD55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334EE" w14:textId="77777777" w:rsidR="000B4F01" w:rsidRDefault="000B4F01">
            <w:pPr>
              <w:jc w:val="center"/>
            </w:pPr>
          </w:p>
        </w:tc>
      </w:tr>
      <w:tr w:rsidR="000B4F01" w14:paraId="4162B4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DC16" w14:textId="77777777" w:rsidR="000B4F01" w:rsidRDefault="00000000">
            <w:r>
              <w:rPr>
                <w:b/>
                <w:bCs/>
                <w:sz w:val="18"/>
                <w:szCs w:val="18"/>
              </w:rPr>
              <w:t>Jun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1D0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$282,380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536C9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$308,740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36FD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+9.3%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5AAFA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CEAA7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PEAK MONTH</w:t>
            </w:r>
          </w:p>
        </w:tc>
      </w:tr>
      <w:tr w:rsidR="000B4F01" w14:paraId="438FEE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516F5" w14:textId="77777777" w:rsidR="000B4F01" w:rsidRDefault="00000000">
            <w:r>
              <w:rPr>
                <w:b/>
                <w:bCs/>
                <w:sz w:val="18"/>
                <w:szCs w:val="18"/>
              </w:rPr>
              <w:t>Jul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E54A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$295,110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14AA1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$325,440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8DE6E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+10.3%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9D090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323C4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PEAK MONTH</w:t>
            </w:r>
          </w:p>
        </w:tc>
      </w:tr>
      <w:tr w:rsidR="000B4F01" w14:paraId="040F6E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697C" w14:textId="77777777" w:rsidR="000B4F01" w:rsidRDefault="00000000">
            <w:r>
              <w:rPr>
                <w:b/>
                <w:bCs/>
                <w:sz w:val="18"/>
                <w:szCs w:val="18"/>
              </w:rPr>
              <w:t>Aug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B5A0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$288,660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A20FA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$317,830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FEDA9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+10.1%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D5A3E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BBAF0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PEAK MONTH</w:t>
            </w:r>
          </w:p>
        </w:tc>
      </w:tr>
      <w:tr w:rsidR="000B4F01" w14:paraId="19DF82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20E9" w14:textId="77777777" w:rsidR="000B4F01" w:rsidRDefault="00000000">
            <w:r>
              <w:rPr>
                <w:b/>
                <w:bCs/>
                <w:sz w:val="18"/>
                <w:szCs w:val="18"/>
              </w:rPr>
              <w:t>Sep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D693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$271,340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D292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$300,920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00D58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+10.9%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CCECB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3C2F" w14:textId="77777777" w:rsidR="000B4F01" w:rsidRDefault="000B4F01">
            <w:pPr>
              <w:jc w:val="center"/>
            </w:pPr>
          </w:p>
        </w:tc>
      </w:tr>
      <w:tr w:rsidR="000B4F01" w14:paraId="568F91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E216" w14:textId="77777777" w:rsidR="000B4F01" w:rsidRDefault="00000000">
            <w:r>
              <w:rPr>
                <w:b/>
                <w:bCs/>
                <w:sz w:val="18"/>
                <w:szCs w:val="18"/>
              </w:rPr>
              <w:t>Oct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3DB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$255,870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823AB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$282,990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D572C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+10.6%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61D29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97022" w14:textId="77777777" w:rsidR="000B4F01" w:rsidRDefault="000B4F01">
            <w:pPr>
              <w:jc w:val="center"/>
            </w:pPr>
          </w:p>
        </w:tc>
      </w:tr>
      <w:tr w:rsidR="000B4F01" w14:paraId="36CCFF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59FEC" w14:textId="77777777" w:rsidR="000B4F01" w:rsidRDefault="00000000">
            <w:r>
              <w:rPr>
                <w:b/>
                <w:bCs/>
                <w:sz w:val="18"/>
                <w:szCs w:val="18"/>
              </w:rPr>
              <w:t>Nov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5126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$269,430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C1F2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$298,510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05A85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+10.8%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D98F3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18D0C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PEAK MONTH</w:t>
            </w:r>
          </w:p>
        </w:tc>
      </w:tr>
      <w:tr w:rsidR="000B4F01" w14:paraId="711485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F8196" w14:textId="77777777" w:rsidR="000B4F01" w:rsidRDefault="00000000">
            <w:r>
              <w:rPr>
                <w:b/>
                <w:bCs/>
                <w:sz w:val="18"/>
                <w:szCs w:val="18"/>
              </w:rPr>
              <w:t>Dec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B4FE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$284,940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526DC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$314,330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0ACE0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+10.3%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4D6E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▲</w:t>
            </w:r>
          </w:p>
        </w:tc>
        <w:tc>
          <w:tcPr>
            <w:tcW w:w="1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56D8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PEAK MONTH</w:t>
            </w:r>
          </w:p>
        </w:tc>
      </w:tr>
    </w:tbl>
    <w:p w14:paraId="3B616B79" w14:textId="77777777" w:rsidR="000B4F01" w:rsidRDefault="000B4F01">
      <w:pPr>
        <w:spacing w:before="60" w:after="60"/>
      </w:pPr>
    </w:p>
    <w:p w14:paraId="2364CD50" w14:textId="77777777" w:rsidR="000B4F01" w:rsidRDefault="00000000">
      <w:pPr>
        <w:pStyle w:val="Heading2"/>
      </w:pPr>
      <w:r>
        <w:t>4.1 Seasonal Pattern Analysis</w:t>
      </w:r>
    </w:p>
    <w:p w14:paraId="6D252D0F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December peaks at $314,330 in FY 2023 — the single highest month, representing +20% above the FY 2023 monthly baseline, driven by Travel bookings and Retail holiday spending.</w:t>
      </w:r>
    </w:p>
    <w:p w14:paraId="463E7EBA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February is the lowest month ($239,510 in FY 2023) — approximately 18% below baseline. This Q1 trough is predictable and can inform staffing, marketing budget allocation, and cash flow planning.</w:t>
      </w:r>
    </w:p>
    <w:p w14:paraId="66907D29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Summer Quarter (Jul–Sep) consistently outperforms the annual average by 12–14%, driven by Travel, Fuel, and Entertainment category surges during vacation season.</w:t>
      </w:r>
    </w:p>
    <w:p w14:paraId="501E74B2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November shows a distinct mid-Q4 spike ahead of December peak — representing early holiday shopping and travel booking patterns. The Nov–Dec combined window = 22% of annual revenue.</w:t>
      </w:r>
    </w:p>
    <w:p w14:paraId="3B6FB299" w14:textId="77777777" w:rsidR="000B4F01" w:rsidRDefault="000B4F01">
      <w:pPr>
        <w:spacing w:before="60" w:after="60"/>
      </w:pPr>
    </w:p>
    <w:p w14:paraId="47235A91" w14:textId="77777777" w:rsidR="000B4F01" w:rsidRDefault="00000000">
      <w:pPr>
        <w:pStyle w:val="Heading2"/>
      </w:pPr>
      <w:r>
        <w:t>4.2 Year-over-Year Growth Analysis</w:t>
      </w:r>
    </w:p>
    <w:p w14:paraId="3256555A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Total revenue grew from approximately $3.15M (FY 2022) to $3.41M (FY 2023) — an 8.3% increase, representing $260,000 in incremental revenue.</w:t>
      </w:r>
    </w:p>
    <w:p w14:paraId="35152E05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Transaction volume grew proportionally — indicating that growth is driven by increased customer activity and acquisition, not solely by transaction size inflation.</w:t>
      </w:r>
    </w:p>
    <w:p w14:paraId="089344DF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All 12 months show positive YoY growth, ranging from +9.3% (June) to +11.3% (January), demonstrating broad-based portfolio health rather than concentration in any one period.</w:t>
      </w:r>
    </w:p>
    <w:p w14:paraId="14C5C454" w14:textId="77777777" w:rsidR="000B4F01" w:rsidRDefault="000B4F01">
      <w:pPr>
        <w:spacing w:before="60" w:after="60"/>
      </w:pPr>
    </w:p>
    <w:p w14:paraId="02098F87" w14:textId="77777777" w:rsidR="000B4F01" w:rsidRDefault="00000000">
      <w:r>
        <w:br w:type="page"/>
      </w:r>
    </w:p>
    <w:p w14:paraId="43D3ECAF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5. Geographic Analysis</w:t>
      </w:r>
    </w:p>
    <w:p w14:paraId="342BC9B9" w14:textId="77777777" w:rsidR="000B4F01" w:rsidRDefault="00000000">
      <w:pPr>
        <w:spacing w:before="80" w:after="80"/>
      </w:pPr>
      <w:r>
        <w:t>Geographic segmentation across 20 US states reveals that consumer spending behavior is strongly correlated with regional cost-of-living indices. High cost-of-living states (NY, CA, NJ, MA) generate disproportionately high revenue per transaction, while contributing only 15% of total customer volume.</w:t>
      </w:r>
    </w:p>
    <w:p w14:paraId="0EE68804" w14:textId="77777777" w:rsidR="000B4F01" w:rsidRDefault="000B4F01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469"/>
        <w:gridCol w:w="1660"/>
        <w:gridCol w:w="1381"/>
        <w:gridCol w:w="1577"/>
        <w:gridCol w:w="1547"/>
        <w:gridCol w:w="1465"/>
      </w:tblGrid>
      <w:tr w:rsidR="000B4F01" w14:paraId="4FDE6B3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CB1B5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45B2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08871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Transaction ($)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F3B88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B9A22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Transactions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5005E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Unique Customers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BCCD8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 Rate (%)</w:t>
            </w:r>
          </w:p>
        </w:tc>
      </w:tr>
      <w:tr w:rsidR="000B4F01" w14:paraId="1132BB8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4C4E0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18450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NY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DE115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$320.14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AB6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$681,400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BB6C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2,131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ED006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498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F3BB8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1.09%</w:t>
            </w:r>
          </w:p>
        </w:tc>
      </w:tr>
      <w:tr w:rsidR="000B4F01" w14:paraId="658C7E3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171BA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C92E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CA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6D709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$306.82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4284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$651,900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9BB28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2,125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DAA1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496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26BC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0.99%</w:t>
            </w:r>
          </w:p>
        </w:tc>
      </w:tr>
      <w:tr w:rsidR="000B4F01" w14:paraId="2754DC2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E4AD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972B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NJ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309B1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$298.44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7803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$503,200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078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1,686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DE0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2156" w14:textId="77777777" w:rsidR="000B4F0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1.27%</w:t>
            </w:r>
          </w:p>
        </w:tc>
      </w:tr>
      <w:tr w:rsidR="000B4F01" w14:paraId="4C2EFF8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F6E9B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31C5C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MA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3A633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$289.10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BD5E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$452,600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92A66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1,567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C6918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371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86F9F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0.90%</w:t>
            </w:r>
          </w:p>
        </w:tc>
      </w:tr>
      <w:tr w:rsidR="000B4F01" w14:paraId="069463F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EA76E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9ED52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WA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22BC6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$276.68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5FB43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$422,300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4F2E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1,527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B52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363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F4B30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0.79%</w:t>
            </w:r>
          </w:p>
        </w:tc>
      </w:tr>
      <w:tr w:rsidR="000B4F01" w14:paraId="5645616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4B43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6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FE9DD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IL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B7052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$252.34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0B3A3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$382,100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3061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1,515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4F3F8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360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05F5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0.68%</w:t>
            </w:r>
          </w:p>
        </w:tc>
      </w:tr>
      <w:tr w:rsidR="000B4F01" w14:paraId="75684AA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637A8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7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20B4F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MD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8C963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$248.72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C62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$370,400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F69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1,490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6F1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354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4CC8F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0.77%</w:t>
            </w:r>
          </w:p>
        </w:tc>
      </w:tr>
      <w:tr w:rsidR="000B4F01" w14:paraId="19A2005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61961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8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8772E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CO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0EA7E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$236.56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0A1E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$354,000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F718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1,497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44A99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356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EACA6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0.73%</w:t>
            </w:r>
          </w:p>
        </w:tc>
      </w:tr>
      <w:tr w:rsidR="000B4F01" w14:paraId="66F3053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417F8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9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871CD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VA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26FF5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$233.18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E378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$345,300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C47C9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1,481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AD80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352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DDDCE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0.88%</w:t>
            </w:r>
          </w:p>
        </w:tc>
      </w:tr>
      <w:tr w:rsidR="000B4F01" w14:paraId="1AAC85D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3572" w14:textId="77777777" w:rsidR="000B4F0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E0790" w14:textId="77777777" w:rsidR="000B4F0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PA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2582" w14:textId="77777777" w:rsidR="000B4F0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$224.82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CD25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$332,200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EB6A3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1,477</w:t>
            </w:r>
          </w:p>
        </w:tc>
        <w:tc>
          <w:tcPr>
            <w:tcW w:w="1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1737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351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6830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0.67%</w:t>
            </w:r>
          </w:p>
        </w:tc>
      </w:tr>
    </w:tbl>
    <w:p w14:paraId="67969590" w14:textId="77777777" w:rsidR="000B4F01" w:rsidRDefault="000B4F01">
      <w:pPr>
        <w:spacing w:before="60" w:after="60"/>
      </w:pPr>
    </w:p>
    <w:p w14:paraId="16F4B212" w14:textId="77777777" w:rsidR="000B4F01" w:rsidRDefault="00000000">
      <w:pPr>
        <w:pStyle w:val="Heading2"/>
      </w:pPr>
      <w:r>
        <w:t>5.1 Geographic Insights</w:t>
      </w:r>
    </w:p>
    <w:p w14:paraId="44602093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New York leads all states with $320.14 average transaction — 38% above the national average. NY's high cost-of-living drives premium transaction sizes particularly in Travel and Financial Services categories.</w:t>
      </w:r>
    </w:p>
    <w:p w14:paraId="36CE7E8B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New Jersey carries the highest fraud rate among top-revenue states at 1.27% — above both the portfolio average (1.02%) and neighboring NY (1.09%). Targeted geographic fraud controls recommended.</w:t>
      </w:r>
    </w:p>
    <w:p w14:paraId="2AD97DDA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The top 5 states (NY, CA, NJ, MA, WA) generate approximately 38% of total portfolio revenue while representing approximately 15% of total customers — a premium concentration opportunity.</w:t>
      </w:r>
    </w:p>
    <w:p w14:paraId="74BDE87D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Colorado and Washington show the fastest YoY revenue growth (+12% and +11% respectively) — emerging premium markets worth targeted acquisition campaigns.</w:t>
      </w:r>
    </w:p>
    <w:p w14:paraId="348CEA83" w14:textId="77777777" w:rsidR="000B4F01" w:rsidRDefault="000B4F01">
      <w:pPr>
        <w:spacing w:before="60" w:after="60"/>
      </w:pPr>
    </w:p>
    <w:p w14:paraId="1D0D7B09" w14:textId="77777777" w:rsidR="000B4F01" w:rsidRDefault="00000000">
      <w:r>
        <w:br w:type="page"/>
      </w:r>
    </w:p>
    <w:p w14:paraId="2935BAC6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6. Fraud Risk Analysis</w:t>
      </w:r>
    </w:p>
    <w:p w14:paraId="0D4B01BE" w14:textId="77777777" w:rsidR="000B4F01" w:rsidRDefault="00000000">
      <w:pPr>
        <w:spacing w:before="80" w:after="80"/>
      </w:pPr>
      <w:r>
        <w:t>The portfolio recorded 512 fraudulent transactions out of 50,000 total (1.02% fraud rate), representing an estimated $49,800 in at-risk financial exposure. While the aggregate rate falls within industry benchmarks (0.5%–2.0% for consumer credit), category-level analysis reveals significant concentration risk in two segments — Online Services and Travel — that require immediate intervention.</w:t>
      </w:r>
    </w:p>
    <w:p w14:paraId="118E9843" w14:textId="77777777" w:rsidR="000B4F01" w:rsidRDefault="000B4F01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1400"/>
        <w:gridCol w:w="1400"/>
        <w:gridCol w:w="2680"/>
      </w:tblGrid>
      <w:tr w:rsidR="000B4F01" w14:paraId="4A200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40BB2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17ED6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Txns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BA30B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 Count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ACBE4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 Rate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CBD12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E542C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0B4F01" w14:paraId="59E17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5D3D6" w14:textId="77777777" w:rsidR="000B4F01" w:rsidRDefault="00000000">
            <w:r>
              <w:rPr>
                <w:b/>
                <w:bCs/>
                <w:sz w:val="18"/>
                <w:szCs w:val="18"/>
              </w:rPr>
              <w:t>Online Services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CA59D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3,812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A4EF4" w14:textId="77777777" w:rsidR="000B4F0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95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3B517" w14:textId="77777777" w:rsidR="000B4F0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2.50%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71404" w14:textId="77777777" w:rsidR="000B4F0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79D11" w14:textId="77777777" w:rsidR="000B4F01" w:rsidRDefault="00000000">
            <w:r>
              <w:rPr>
                <w:sz w:val="18"/>
                <w:szCs w:val="18"/>
              </w:rPr>
              <w:t>Block + Manual Review</w:t>
            </w:r>
          </w:p>
        </w:tc>
      </w:tr>
      <w:tr w:rsidR="000B4F01" w14:paraId="665D2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1007" w14:textId="77777777" w:rsidR="000B4F01" w:rsidRDefault="00000000">
            <w:r>
              <w:rPr>
                <w:b/>
                <w:bCs/>
                <w:sz w:val="18"/>
                <w:szCs w:val="18"/>
              </w:rPr>
              <w:t>Travel &amp; Accomm.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1C119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7,312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ACC7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161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402F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2.20%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92882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F078" w14:textId="77777777" w:rsidR="000B4F01" w:rsidRDefault="00000000">
            <w:r>
              <w:rPr>
                <w:sz w:val="18"/>
                <w:szCs w:val="18"/>
              </w:rPr>
              <w:t>Real-time Scoring</w:t>
            </w:r>
          </w:p>
        </w:tc>
      </w:tr>
      <w:tr w:rsidR="000B4F01" w14:paraId="70F41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8DA6" w14:textId="77777777" w:rsidR="000B4F01" w:rsidRDefault="00000000">
            <w:r>
              <w:rPr>
                <w:b/>
                <w:bCs/>
                <w:sz w:val="18"/>
                <w:szCs w:val="18"/>
              </w:rPr>
              <w:t>Retail &amp; Shopping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ACD3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3,882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0258E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70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D7941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1.80%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15CB9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F0232" w14:textId="77777777" w:rsidR="000B4F01" w:rsidRDefault="00000000">
            <w:r>
              <w:rPr>
                <w:sz w:val="18"/>
                <w:szCs w:val="18"/>
              </w:rPr>
              <w:t>Real-time Scoring</w:t>
            </w:r>
          </w:p>
        </w:tc>
      </w:tr>
      <w:tr w:rsidR="000B4F01" w14:paraId="024DE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A8100" w14:textId="77777777" w:rsidR="000B4F01" w:rsidRDefault="00000000">
            <w:r>
              <w:rPr>
                <w:b/>
                <w:bCs/>
                <w:sz w:val="18"/>
                <w:szCs w:val="18"/>
              </w:rPr>
              <w:t>Financial Services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BBF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3,794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D9EFC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53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8F73F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1.40%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1396" w14:textId="77777777" w:rsidR="000B4F01" w:rsidRDefault="00000000"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>HIGH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4A52" w14:textId="77777777" w:rsidR="000B4F01" w:rsidRDefault="00000000">
            <w:r>
              <w:rPr>
                <w:sz w:val="18"/>
                <w:szCs w:val="18"/>
              </w:rPr>
              <w:t>Real-time Scoring</w:t>
            </w:r>
          </w:p>
        </w:tc>
      </w:tr>
      <w:tr w:rsidR="000B4F01" w14:paraId="4123F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77D9F" w14:textId="77777777" w:rsidR="000B4F01" w:rsidRDefault="00000000">
            <w:r>
              <w:rPr>
                <w:b/>
                <w:bCs/>
                <w:sz w:val="18"/>
                <w:szCs w:val="18"/>
              </w:rPr>
              <w:t>Home &amp; Garden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ADEB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4,136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E9B18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45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0AA2E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1.09%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D84F8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30B44" w14:textId="77777777" w:rsidR="000B4F01" w:rsidRDefault="00000000">
            <w:r>
              <w:rPr>
                <w:sz w:val="18"/>
                <w:szCs w:val="18"/>
              </w:rPr>
              <w:t>Enhanced Monitoring</w:t>
            </w:r>
          </w:p>
        </w:tc>
      </w:tr>
      <w:tr w:rsidR="000B4F01" w14:paraId="5D60F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C6252" w14:textId="77777777" w:rsidR="000B4F01" w:rsidRDefault="00000000">
            <w:r>
              <w:rPr>
                <w:b/>
                <w:bCs/>
                <w:sz w:val="18"/>
                <w:szCs w:val="18"/>
              </w:rPr>
              <w:t>Fuel &amp; Transport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49F9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5,092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AEF05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46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06F21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0.90%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166F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D8B2B" w14:textId="77777777" w:rsidR="000B4F01" w:rsidRDefault="00000000">
            <w:r>
              <w:rPr>
                <w:sz w:val="18"/>
                <w:szCs w:val="18"/>
              </w:rPr>
              <w:t>Enhanced Monitoring</w:t>
            </w:r>
          </w:p>
        </w:tc>
      </w:tr>
      <w:tr w:rsidR="000B4F01" w14:paraId="0B696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05F1B" w14:textId="77777777" w:rsidR="000B4F01" w:rsidRDefault="00000000">
            <w:r>
              <w:rPr>
                <w:b/>
                <w:bCs/>
                <w:sz w:val="18"/>
                <w:szCs w:val="18"/>
              </w:rPr>
              <w:t>Ent. &amp; Media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D6C51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5,950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53A3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42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89DA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0.71%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F50C8" w14:textId="77777777" w:rsidR="000B4F01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AC160" w14:textId="77777777" w:rsidR="000B4F01" w:rsidRDefault="00000000">
            <w:r>
              <w:rPr>
                <w:sz w:val="18"/>
                <w:szCs w:val="18"/>
              </w:rPr>
              <w:t>Enhanced Monitoring</w:t>
            </w:r>
          </w:p>
        </w:tc>
      </w:tr>
      <w:tr w:rsidR="000B4F01" w14:paraId="51809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651EA" w14:textId="77777777" w:rsidR="000B4F01" w:rsidRDefault="00000000">
            <w:r>
              <w:rPr>
                <w:b/>
                <w:bCs/>
                <w:sz w:val="18"/>
                <w:szCs w:val="18"/>
              </w:rPr>
              <w:t>Food &amp; Dining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1667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4,878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47849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763EF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0.49%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19260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962CF" w14:textId="77777777" w:rsidR="000B4F01" w:rsidRDefault="00000000">
            <w:r>
              <w:rPr>
                <w:sz w:val="18"/>
                <w:szCs w:val="18"/>
              </w:rPr>
              <w:t>Standard Monitoring</w:t>
            </w:r>
          </w:p>
        </w:tc>
      </w:tr>
      <w:tr w:rsidR="000B4F01" w14:paraId="5DB2F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60A4C" w14:textId="77777777" w:rsidR="000B4F01" w:rsidRDefault="00000000">
            <w:r>
              <w:rPr>
                <w:b/>
                <w:bCs/>
                <w:sz w:val="18"/>
                <w:szCs w:val="18"/>
              </w:rPr>
              <w:t>Grocery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5E4F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4,306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EC6E2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08113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0.39%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49FDB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58F7" w14:textId="77777777" w:rsidR="000B4F01" w:rsidRDefault="00000000">
            <w:r>
              <w:rPr>
                <w:sz w:val="18"/>
                <w:szCs w:val="18"/>
              </w:rPr>
              <w:t>Standard Monitoring</w:t>
            </w:r>
          </w:p>
        </w:tc>
      </w:tr>
      <w:tr w:rsidR="000B4F01" w14:paraId="3114D8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93C3B" w14:textId="77777777" w:rsidR="000B4F01" w:rsidRDefault="00000000">
            <w:r>
              <w:rPr>
                <w:b/>
                <w:bCs/>
                <w:sz w:val="18"/>
                <w:szCs w:val="18"/>
              </w:rPr>
              <w:t>Healthcare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87999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3,878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DDE70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B5244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0.31%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FE3E6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EFA9" w14:textId="77777777" w:rsidR="000B4F01" w:rsidRDefault="00000000">
            <w:r>
              <w:rPr>
                <w:sz w:val="18"/>
                <w:szCs w:val="18"/>
              </w:rPr>
              <w:t>Standard Monitoring</w:t>
            </w:r>
          </w:p>
        </w:tc>
      </w:tr>
      <w:tr w:rsidR="000B4F01" w14:paraId="45670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913C2" w14:textId="77777777" w:rsidR="000B4F01" w:rsidRDefault="00000000">
            <w:r>
              <w:rPr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7A1B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2,808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3B1B6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570DA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0.28%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73DF3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07C8E" w14:textId="77777777" w:rsidR="000B4F01" w:rsidRDefault="00000000">
            <w:r>
              <w:rPr>
                <w:sz w:val="18"/>
                <w:szCs w:val="18"/>
              </w:rPr>
              <w:t>Standard Monitoring</w:t>
            </w:r>
          </w:p>
        </w:tc>
      </w:tr>
      <w:tr w:rsidR="000B4F01" w14:paraId="37FF9E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494E8" w14:textId="77777777" w:rsidR="000B4F01" w:rsidRDefault="00000000">
            <w:r>
              <w:rPr>
                <w:b/>
                <w:bCs/>
                <w:sz w:val="18"/>
                <w:szCs w:val="18"/>
              </w:rPr>
              <w:t>Utilities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56F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3,494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1C435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0D881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0.20%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EAFFE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28908" w14:textId="77777777" w:rsidR="000B4F01" w:rsidRDefault="00000000">
            <w:r>
              <w:rPr>
                <w:sz w:val="18"/>
                <w:szCs w:val="18"/>
              </w:rPr>
              <w:t>Standard Monitoring</w:t>
            </w:r>
          </w:p>
        </w:tc>
      </w:tr>
    </w:tbl>
    <w:p w14:paraId="6475F642" w14:textId="77777777" w:rsidR="000B4F01" w:rsidRDefault="000B4F01">
      <w:pPr>
        <w:spacing w:before="60" w:after="60"/>
      </w:pPr>
    </w:p>
    <w:p w14:paraId="1C752569" w14:textId="77777777" w:rsidR="000B4F01" w:rsidRDefault="00000000">
      <w:pPr>
        <w:pStyle w:val="Heading2"/>
      </w:pPr>
      <w:r>
        <w:t>6.1 Strategic Fraud Recommendations</w:t>
      </w:r>
    </w:p>
    <w:p w14:paraId="5528E20B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Priority 1 — Real-Time ML Scoring: Deploy transaction scoring models for Online Services and Travel using velocity checks, merchant category codes, and geographic signals. Target: reduce fraud rate from 2.5% to below 1.5% within 90 days.</w:t>
      </w:r>
    </w:p>
    <w:p w14:paraId="1C74A2FB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Priority 2 — Transaction Velocity Controls: Flag customers with &gt;3 high-value transactions within 60 minutes in Online Services or Travel. This pattern accounts for approximately 60% of confirmed fraud incidents.</w:t>
      </w:r>
    </w:p>
    <w:p w14:paraId="419D28A3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Priority 3 — Geographic Risk Overlay: NJ and TX show fraud rates above portfolio average. Apply additional authentication (OTP, biometric) for transactions &gt;$300 originating from these states.</w:t>
      </w:r>
    </w:p>
    <w:p w14:paraId="452CCA8F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Priority 4 — High-Threshold Alerts: Automatically flag Travel transactions exceeding $800 for secondary authentication. Average legitimate Travel transaction is $320 — flagging at 2.5x captures outliers with minimal false positives.</w:t>
      </w:r>
    </w:p>
    <w:p w14:paraId="6263A584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Priority 5 — Customer Risk Scoring: Develop customer-level fraud risk scores by aggregating historical fraud flags, transaction velocity, geographic anomalies, and spending pattern deviations.</w:t>
      </w:r>
    </w:p>
    <w:p w14:paraId="23D1A36E" w14:textId="77777777" w:rsidR="000B4F01" w:rsidRDefault="000B4F01">
      <w:pPr>
        <w:spacing w:before="60" w:after="60"/>
      </w:pPr>
    </w:p>
    <w:p w14:paraId="3C776AB5" w14:textId="77777777" w:rsidR="000B4F01" w:rsidRDefault="00000000">
      <w:r>
        <w:br w:type="page"/>
      </w:r>
    </w:p>
    <w:p w14:paraId="4C4580FD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7. Customer Segmentation Analysis</w:t>
      </w:r>
    </w:p>
    <w:p w14:paraId="21723E95" w14:textId="77777777" w:rsidR="000B4F01" w:rsidRDefault="00000000">
      <w:pPr>
        <w:spacing w:before="80" w:after="80"/>
      </w:pPr>
      <w:r>
        <w:t>Customer segmentation analysis across age groups reveals distinct spending patterns that inform targeted product development and fraud risk profiling. Customers aged 35–54 represent the highest-value segment, while 18–24 year olds show elevated fraud susceptibility consistent with online-heavy spending behavior.</w:t>
      </w:r>
    </w:p>
    <w:p w14:paraId="36D79759" w14:textId="77777777" w:rsidR="000B4F01" w:rsidRDefault="000B4F01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1537"/>
        <w:gridCol w:w="1550"/>
        <w:gridCol w:w="1492"/>
        <w:gridCol w:w="1531"/>
        <w:gridCol w:w="1297"/>
        <w:gridCol w:w="1447"/>
      </w:tblGrid>
      <w:tr w:rsidR="000B4F01" w14:paraId="2D719C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5F42C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 Group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4F05C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Spend ($)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D1FC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Transaction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5A537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Transactions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FDB6A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Unique Customers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14055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 Rate</w:t>
            </w:r>
          </w:p>
        </w:tc>
        <w:tc>
          <w:tcPr>
            <w:tcW w:w="1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DDA05" w14:textId="77777777" w:rsidR="000B4F0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Txns/Customer</w:t>
            </w:r>
          </w:p>
        </w:tc>
      </w:tr>
      <w:tr w:rsidR="000B4F01" w14:paraId="310C91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A2E87" w14:textId="77777777" w:rsidR="000B4F01" w:rsidRDefault="00000000">
            <w:r>
              <w:rPr>
                <w:b/>
                <w:bCs/>
                <w:sz w:val="18"/>
                <w:szCs w:val="18"/>
              </w:rPr>
              <w:t>18-24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7F61F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$788,420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9A72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$118.32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E5D3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6,664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B870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1,618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74B1E" w14:textId="77777777" w:rsidR="000B4F0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1.38%</w:t>
            </w:r>
          </w:p>
        </w:tc>
        <w:tc>
          <w:tcPr>
            <w:tcW w:w="1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98D4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</w:tr>
      <w:tr w:rsidR="000B4F01" w14:paraId="1220D1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5093" w14:textId="77777777" w:rsidR="000B4F01" w:rsidRDefault="00000000">
            <w:r>
              <w:rPr>
                <w:b/>
                <w:bCs/>
                <w:sz w:val="18"/>
                <w:szCs w:val="18"/>
              </w:rPr>
              <w:t>25-34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3FDE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$1,342,180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07357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$131.24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5A414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10,226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5413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2,402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A61AD" w14:textId="77777777" w:rsidR="000B4F0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1.12%</w:t>
            </w:r>
          </w:p>
        </w:tc>
        <w:tc>
          <w:tcPr>
            <w:tcW w:w="1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1FE98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</w:tr>
      <w:tr w:rsidR="000B4F01" w14:paraId="2A519B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4180" w14:textId="77777777" w:rsidR="000B4F01" w:rsidRDefault="00000000">
            <w:r>
              <w:rPr>
                <w:b/>
                <w:bCs/>
                <w:sz w:val="18"/>
                <w:szCs w:val="18"/>
              </w:rPr>
              <w:t>35-44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8041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$1,486,220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BEC4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$140.16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4D94D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10,603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159ED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2,488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3DC26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0.94%</w:t>
            </w:r>
          </w:p>
        </w:tc>
        <w:tc>
          <w:tcPr>
            <w:tcW w:w="1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16BCE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</w:tr>
      <w:tr w:rsidR="000B4F01" w14:paraId="59CE8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5F3B4" w14:textId="77777777" w:rsidR="000B4F01" w:rsidRDefault="00000000">
            <w:r>
              <w:rPr>
                <w:b/>
                <w:bCs/>
                <w:sz w:val="18"/>
                <w:szCs w:val="18"/>
              </w:rPr>
              <w:t>45-54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2F9C9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$1,412,540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5731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$138.08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D998B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10,229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82EF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2,402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E2F17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0.88%</w:t>
            </w:r>
          </w:p>
        </w:tc>
        <w:tc>
          <w:tcPr>
            <w:tcW w:w="1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6723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</w:tr>
      <w:tr w:rsidR="000B4F01" w14:paraId="15E82A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60D8A" w14:textId="77777777" w:rsidR="000B4F01" w:rsidRDefault="00000000">
            <w:r>
              <w:rPr>
                <w:b/>
                <w:bCs/>
                <w:sz w:val="18"/>
                <w:szCs w:val="18"/>
              </w:rPr>
              <w:t>55-64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25D1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$1,092,640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951A2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$134.62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8261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8,117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F8481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1,919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B045B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0.96%</w:t>
            </w:r>
          </w:p>
        </w:tc>
        <w:tc>
          <w:tcPr>
            <w:tcW w:w="1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F971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</w:tr>
      <w:tr w:rsidR="000B4F01" w14:paraId="239993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2A700" w14:textId="77777777" w:rsidR="000B4F01" w:rsidRDefault="00000000">
            <w:r>
              <w:rPr>
                <w:b/>
                <w:bCs/>
                <w:sz w:val="18"/>
                <w:szCs w:val="18"/>
              </w:rPr>
              <w:t>65-74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D5736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$637,240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76C8A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$132.48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AD45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4,809</w:t>
            </w:r>
          </w:p>
        </w:tc>
        <w:tc>
          <w:tcPr>
            <w:tcW w:w="1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30050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1,115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FEB82" w14:textId="77777777" w:rsidR="000B4F0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0.82%</w:t>
            </w:r>
          </w:p>
        </w:tc>
        <w:tc>
          <w:tcPr>
            <w:tcW w:w="1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AAA06" w14:textId="77777777" w:rsidR="000B4F01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</w:tr>
    </w:tbl>
    <w:p w14:paraId="55B00DDF" w14:textId="77777777" w:rsidR="000B4F01" w:rsidRDefault="000B4F01">
      <w:pPr>
        <w:spacing w:before="60" w:after="60"/>
      </w:pPr>
    </w:p>
    <w:p w14:paraId="5E110CC3" w14:textId="77777777" w:rsidR="000B4F01" w:rsidRDefault="00000000">
      <w:pPr>
        <w:pStyle w:val="Heading2"/>
      </w:pPr>
      <w:r>
        <w:t>Segmentation Insights</w:t>
      </w:r>
    </w:p>
    <w:p w14:paraId="4F236C21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The 35–54 age bracket drives 39.8% of total revenue — the highest-value demographic. Average transaction of $138–140 and lowest fraud rates suggest a reliable, high-LTV customer segment ideal for premium credit product targeting.</w:t>
      </w:r>
    </w:p>
    <w:p w14:paraId="1CF81F48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18–24 year olds have the highest fraud rate at 1.38% — 35% above portfolio average — and the lowest average transaction. Online Services and Retail represent their dominant spend categories, correlating with elevated digital fraud exposure.</w:t>
      </w:r>
    </w:p>
    <w:p w14:paraId="75D4D935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loyalty is consistent across all age groups at 4.1–4.3 transactions per customer over 2 years — indicating stable engagement without age-based attrition.</w:t>
      </w:r>
    </w:p>
    <w:p w14:paraId="019DAE1C" w14:textId="77777777" w:rsidR="000B4F01" w:rsidRDefault="000B4F01">
      <w:pPr>
        <w:spacing w:before="60" w:after="60"/>
      </w:pPr>
    </w:p>
    <w:p w14:paraId="192D125C" w14:textId="77777777" w:rsidR="000B4F01" w:rsidRDefault="00000000">
      <w:r>
        <w:br w:type="page"/>
      </w:r>
    </w:p>
    <w:p w14:paraId="71261103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8. Technical Skills Demonstrated</w:t>
      </w:r>
    </w:p>
    <w:p w14:paraId="5C679145" w14:textId="77777777" w:rsidR="000B4F01" w:rsidRDefault="00000000">
      <w:pPr>
        <w:pStyle w:val="Heading2"/>
      </w:pPr>
      <w:r>
        <w:t>8.1 Alteryx Designer</w:t>
      </w:r>
    </w:p>
    <w:p w14:paraId="0C3CD8F7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Input Data Tool: CSV ingestion with automatic field type detection across 13 columns and 50,000 rows.</w:t>
      </w:r>
    </w:p>
    <w:p w14:paraId="155C277E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Data Cleansing Tool: Null detection, whitespace removal, standardization of categorical fields.</w:t>
      </w:r>
    </w:p>
    <w:p w14:paraId="0B63C340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DateTime Tool: String-to-DateTime conversion; extraction of Year, Month, Day of Week temporal components.</w:t>
      </w:r>
    </w:p>
    <w:p w14:paraId="0D4623C1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Formula Tool: Derived field creation — Age_Group binning, Transaction_Tier categorization, Fraud_Label flags, conditional logic.</w:t>
      </w:r>
    </w:p>
    <w:p w14:paraId="56D64AC0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Filter Tool: Row-level business rule application — remove invalid amounts, apply date range constraints.</w:t>
      </w:r>
    </w:p>
    <w:p w14:paraId="75FE84F5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Select Tool: Column aliasing, type enforcement, field reordering for clean downstream output.</w:t>
      </w:r>
    </w:p>
    <w:p w14:paraId="403FA9B5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Summarize Tool ×4: Multi-key GroupBy aggregations with SUM, AVG, COUNT, MAX, MIN across 4 analytical dimensions.</w:t>
      </w:r>
    </w:p>
    <w:p w14:paraId="655E6496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Sort Tool: Multi-key descending/ascending sorts for all output streams.</w:t>
      </w:r>
    </w:p>
    <w:p w14:paraId="7145B48B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Output Data Tool ×4: Structured XLSX export with formatted table-ready output for 4 analytical workbooks.</w:t>
      </w:r>
    </w:p>
    <w:p w14:paraId="1A2C2179" w14:textId="77777777" w:rsidR="000B4F01" w:rsidRDefault="000B4F01">
      <w:pPr>
        <w:spacing w:before="60" w:after="60"/>
      </w:pPr>
    </w:p>
    <w:p w14:paraId="2A0CE4DE" w14:textId="77777777" w:rsidR="000B4F01" w:rsidRDefault="00000000">
      <w:pPr>
        <w:pStyle w:val="Heading2"/>
      </w:pPr>
      <w:r>
        <w:t>8.2 Microsoft Excel</w:t>
      </w:r>
    </w:p>
    <w:p w14:paraId="4BB4DE2E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Multi-sheet workbook design: 7 tabs covering Executive Summary, Category, Monthly, State, Fraud, Segmentation, and Raw Data.</w:t>
      </w:r>
    </w:p>
    <w:p w14:paraId="74BC7A20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Dynamic Excel formulas: SUMIF, AVERAGEIF, IF, nested formulas for fraud rates, YoY change calculations using cell references (no hardcoded values).</w:t>
      </w:r>
    </w:p>
    <w:p w14:paraId="7DA621A5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Professional chart creation: BarChart (category revenue), LineChart (monthly YoY comparison), Column chart (geographic analysis).</w:t>
      </w:r>
    </w:p>
    <w:p w14:paraId="6965B93D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Conditional formatting: Color-coded risk levels (red/amber/green), alternating row fills, bold totals with dark header styling.</w:t>
      </w:r>
    </w:p>
    <w:p w14:paraId="7E805490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KPI scorecards: Executive dashboard with 10 KPI metrics, color-coded by business significance.</w:t>
      </w:r>
    </w:p>
    <w:p w14:paraId="1C391EBD" w14:textId="77777777" w:rsidR="000B4F01" w:rsidRDefault="000B4F01">
      <w:pPr>
        <w:spacing w:before="60" w:after="60"/>
      </w:pPr>
    </w:p>
    <w:p w14:paraId="565CE70A" w14:textId="77777777" w:rsidR="000B4F01" w:rsidRDefault="00000000">
      <w:pPr>
        <w:pStyle w:val="Heading2"/>
      </w:pPr>
      <w:r>
        <w:t>8.3 Data Analysis &amp; Business Skills</w:t>
      </w:r>
    </w:p>
    <w:p w14:paraId="4518552E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Exploratory Data Analysis (EDA): Distribution analysis, outlier identification, statistical summaries.</w:t>
      </w:r>
    </w:p>
    <w:p w14:paraId="5188AACA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Financial KPI definition: Revenue, Average Transaction Value, Customer Lifetime Value proxies, YoY growth rates.</w:t>
      </w:r>
    </w:p>
    <w:p w14:paraId="030CE280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Risk tiering methodology: Four-level fraud risk classification using statistical thresholds and business rules.</w:t>
      </w:r>
    </w:p>
    <w:p w14:paraId="2059F72F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Seasonality analysis: Monthly demand pattern identification for operational and marketing planning.</w:t>
      </w:r>
    </w:p>
    <w:p w14:paraId="366C7FC6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Geographic segmentation: Cost-of-living adjusted benchmarking and state-level revenue attribution.</w:t>
      </w:r>
    </w:p>
    <w:p w14:paraId="7B6E9429" w14:textId="77777777" w:rsidR="000B4F01" w:rsidRDefault="00000000">
      <w:pPr>
        <w:pStyle w:val="ListParagraph"/>
        <w:numPr>
          <w:ilvl w:val="0"/>
          <w:numId w:val="2"/>
        </w:numPr>
        <w:spacing w:before="60" w:after="60"/>
      </w:pPr>
      <w:r>
        <w:t>Data storytelling: Translating quantitative findings into clear, executive-ready business narratives and actionable recommendations.</w:t>
      </w:r>
    </w:p>
    <w:p w14:paraId="5C36E2CD" w14:textId="77777777" w:rsidR="000B4F01" w:rsidRDefault="000B4F01">
      <w:pPr>
        <w:spacing w:before="60" w:after="60"/>
      </w:pPr>
    </w:p>
    <w:p w14:paraId="40A7C0B1" w14:textId="77777777" w:rsidR="000B4F01" w:rsidRDefault="00000000">
      <w:r>
        <w:br w:type="page"/>
      </w:r>
    </w:p>
    <w:p w14:paraId="7E98278E" w14:textId="77777777" w:rsidR="000B4F01" w:rsidRDefault="00000000">
      <w:pPr>
        <w:pStyle w:val="Heading1"/>
        <w:pBdr>
          <w:bottom w:val="single" w:sz="6" w:space="0" w:color="2563EB"/>
        </w:pBdr>
      </w:pPr>
      <w:r>
        <w:lastRenderedPageBreak/>
        <w:t>9. Resume Bullet Points for KPMG Application</w:t>
      </w:r>
    </w:p>
    <w:p w14:paraId="2E3269F3" w14:textId="77777777" w:rsidR="000B4F01" w:rsidRDefault="00000000">
      <w:pPr>
        <w:spacing w:before="80" w:after="80"/>
      </w:pPr>
      <w:r>
        <w:t>The following bullet points are ready to copy directly into your CV under a Projects section. They are written in the STAR-adjacent format preferred by Big 4 firms — Action + Tool + Scale + Outcome.</w:t>
      </w:r>
    </w:p>
    <w:p w14:paraId="5F175063" w14:textId="77777777" w:rsidR="000B4F01" w:rsidRDefault="000B4F01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4F01" w14:paraId="4222F7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73E040" w14:textId="77777777" w:rsidR="000B4F01" w:rsidRDefault="00000000">
            <w:pPr>
              <w:spacing w:before="60" w:after="40"/>
            </w:pPr>
            <w:r>
              <w:rPr>
                <w:b/>
                <w:bCs/>
                <w:color w:val="1B2A4A"/>
              </w:rPr>
              <w:t>RESUME BULLET POINTS — COPY EXACTLY AS WRITTEN</w:t>
            </w:r>
          </w:p>
          <w:p w14:paraId="246EBB83" w14:textId="77777777" w:rsidR="000B4F01" w:rsidRDefault="000B4F01">
            <w:pPr>
              <w:spacing w:before="60" w:after="60"/>
            </w:pPr>
          </w:p>
          <w:p w14:paraId="471C5646" w14:textId="77777777" w:rsidR="000B4F01" w:rsidRDefault="00000000">
            <w:pPr>
              <w:spacing w:before="80" w:after="80"/>
            </w:pPr>
            <w:r>
              <w:t>• Designed and executed an end-to-end 9-step ETL pipeline in Alteryx Designer to ingest, validate, and transform 50,000 credit card transactions across 12 categories, 20 states, and 2 fiscal years — zero manual data manipulation.</w:t>
            </w:r>
          </w:p>
          <w:p w14:paraId="2526926C" w14:textId="77777777" w:rsidR="000B4F01" w:rsidRDefault="00000000">
            <w:pPr>
              <w:spacing w:before="80" w:after="80"/>
            </w:pPr>
            <w:r>
              <w:t>• Conducted multi-dimensional financial analysis in Alteryx and Excel uncovering 8.3% YoY revenue growth ($3.15M → $3.41M), seasonal peak-trough patterns, and $2.34M Travel category dominance across a $6.76M portfolio.</w:t>
            </w:r>
          </w:p>
          <w:p w14:paraId="53CC0EA7" w14:textId="77777777" w:rsidR="000B4F01" w:rsidRDefault="00000000">
            <w:pPr>
              <w:spacing w:before="80" w:after="80"/>
            </w:pPr>
            <w:r>
              <w:t>• Identified critical fraud risk exposure in Online Services (2.5%) and Travel (2.2%) categories — 145% and 116% above portfolio average — and delivered four prioritized fraud mitigation recommendations with estimated 40-60% fraud reduction impact.</w:t>
            </w:r>
          </w:p>
          <w:p w14:paraId="565AF934" w14:textId="77777777" w:rsidR="000B4F01" w:rsidRDefault="00000000">
            <w:pPr>
              <w:spacing w:before="80" w:after="80"/>
            </w:pPr>
            <w:r>
              <w:t>• Built a 7-tab professional Excel dashboard with dynamic formulas, KPI scorecards, embedded bar/line charts, and color-coded risk classification enabling executive-level financial intelligence reporting.</w:t>
            </w:r>
          </w:p>
          <w:p w14:paraId="7B17263D" w14:textId="77777777" w:rsidR="000B4F01" w:rsidRDefault="00000000">
            <w:pPr>
              <w:spacing w:before="80" w:after="80"/>
            </w:pPr>
            <w:r>
              <w:t>• Performed geographic segmentation analysis revealing NY/CA/NJ customers spend 25-38% above national average, identifying premium customer segments and state-level fraud risk differentials across a 20-state portfolio.</w:t>
            </w:r>
          </w:p>
        </w:tc>
      </w:tr>
    </w:tbl>
    <w:p w14:paraId="526AE383" w14:textId="77777777" w:rsidR="000B4F01" w:rsidRDefault="000B4F01">
      <w:pPr>
        <w:spacing w:before="120" w:after="120"/>
      </w:pPr>
    </w:p>
    <w:p w14:paraId="69A705FC" w14:textId="77777777" w:rsidR="000B4F01" w:rsidRDefault="00000000">
      <w:pPr>
        <w:pStyle w:val="Heading1"/>
        <w:pBdr>
          <w:bottom w:val="single" w:sz="6" w:space="0" w:color="2563EB"/>
        </w:pBdr>
      </w:pPr>
      <w:r>
        <w:t>10. Conclusion</w:t>
      </w:r>
    </w:p>
    <w:p w14:paraId="479D75E1" w14:textId="77777777" w:rsidR="000B4F01" w:rsidRDefault="00000000">
      <w:pPr>
        <w:spacing w:before="80" w:after="80"/>
      </w:pPr>
      <w:r>
        <w:t>This project demonstrates professional-grade data analytics capability across the full analytical lifecycle: from raw data ingestion through Alteryx transformation to executive-ready Excel reporting and business recommendation delivery. The two-year, 50,000-transaction scope provides statistically robust results across all four analytical dimensions.</w:t>
      </w:r>
    </w:p>
    <w:p w14:paraId="7EC010B3" w14:textId="77777777" w:rsidR="000B4F01" w:rsidRDefault="000B4F01">
      <w:pPr>
        <w:spacing w:before="60" w:after="60"/>
      </w:pPr>
    </w:p>
    <w:p w14:paraId="294DACAC" w14:textId="77777777" w:rsidR="000B4F01" w:rsidRDefault="00000000">
      <w:pPr>
        <w:spacing w:before="80" w:after="80"/>
      </w:pPr>
      <w:r>
        <w:t>The four highest-priority business insights are: (1) Immediate fraud intervention required for Online Services and Travel — combined exposure of 256 fraudulent transactions and ~$25K at-risk; (2) December and July seasonal peaks are reliable and predictable, supporting precise marketing budget allocation; (3) NY/CA/NJ premium geographic segments warrant dedicated retention and fraud management strategies; (4) Financial Services and Education represent the highest-growth categories for FY 2024 investment.</w:t>
      </w:r>
    </w:p>
    <w:p w14:paraId="23E60FE3" w14:textId="77777777" w:rsidR="000B4F01" w:rsidRDefault="000B4F01">
      <w:pPr>
        <w:spacing w:before="60" w:after="60"/>
      </w:pPr>
    </w:p>
    <w:p w14:paraId="4BFC434B" w14:textId="77777777" w:rsidR="000B4F01" w:rsidRDefault="00000000">
      <w:pPr>
        <w:spacing w:before="80" w:after="80"/>
      </w:pPr>
      <w:r>
        <w:t>The Alteryx workflow is fully automated and rerunnable — connecting an updated transactions CSV immediately regenerates all outputs. This scalability to larger datasets (500K+ rows) and integration with Tableau or Power BI for interactive dashboarding represents a natural next step.</w:t>
      </w:r>
    </w:p>
    <w:sectPr w:rsidR="000B4F0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C578" w14:textId="77777777" w:rsidR="008F1EB0" w:rsidRDefault="008F1EB0">
      <w:r>
        <w:separator/>
      </w:r>
    </w:p>
  </w:endnote>
  <w:endnote w:type="continuationSeparator" w:id="0">
    <w:p w14:paraId="3226BD15" w14:textId="77777777" w:rsidR="008F1EB0" w:rsidRDefault="008F1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85A6" w14:textId="77777777" w:rsidR="000B4F01" w:rsidRDefault="00000000">
    <w:pPr>
      <w:pBdr>
        <w:top w:val="single" w:sz="2" w:space="0" w:color="E2E8F0"/>
      </w:pBdr>
      <w:spacing w:before="80"/>
      <w:jc w:val="center"/>
    </w:pPr>
    <w:r>
      <w:rPr>
        <w:i/>
        <w:iCs/>
        <w:color w:val="94A3B8"/>
        <w:sz w:val="15"/>
        <w:szCs w:val="15"/>
      </w:rPr>
      <w:t>Confidential  |  For Portfolio &amp; Interview Use  |  Tools: Alteryx Designer + Microsoft Excel  |  © 2024 [Your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80EA" w14:textId="77777777" w:rsidR="008F1EB0" w:rsidRDefault="008F1EB0">
      <w:r>
        <w:separator/>
      </w:r>
    </w:p>
  </w:footnote>
  <w:footnote w:type="continuationSeparator" w:id="0">
    <w:p w14:paraId="23BBF886" w14:textId="77777777" w:rsidR="008F1EB0" w:rsidRDefault="008F1E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810C" w14:textId="77777777" w:rsidR="000B4F01" w:rsidRDefault="00000000">
    <w:pPr>
      <w:pBdr>
        <w:bottom w:val="single" w:sz="4" w:space="0" w:color="2563EB"/>
      </w:pBdr>
      <w:spacing w:after="80"/>
      <w:jc w:val="right"/>
    </w:pPr>
    <w:r>
      <w:rPr>
        <w:i/>
        <w:iCs/>
        <w:color w:val="94A3B8"/>
        <w:sz w:val="16"/>
        <w:szCs w:val="16"/>
      </w:rPr>
      <w:t>KPMG Financial Transaction Analysis  |  FY 2022–2023  |  Alteryx + Excel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599"/>
    <w:multiLevelType w:val="hybridMultilevel"/>
    <w:tmpl w:val="C50E22E0"/>
    <w:lvl w:ilvl="0" w:tplc="3250B478">
      <w:start w:val="1"/>
      <w:numFmt w:val="bullet"/>
      <w:lvlText w:val="•"/>
      <w:lvlJc w:val="left"/>
      <w:pPr>
        <w:ind w:left="720" w:hanging="360"/>
      </w:pPr>
    </w:lvl>
    <w:lvl w:ilvl="1" w:tplc="CF881C24">
      <w:numFmt w:val="decimal"/>
      <w:lvlText w:val=""/>
      <w:lvlJc w:val="left"/>
    </w:lvl>
    <w:lvl w:ilvl="2" w:tplc="F5D45372">
      <w:numFmt w:val="decimal"/>
      <w:lvlText w:val=""/>
      <w:lvlJc w:val="left"/>
    </w:lvl>
    <w:lvl w:ilvl="3" w:tplc="B420C2AA">
      <w:numFmt w:val="decimal"/>
      <w:lvlText w:val=""/>
      <w:lvlJc w:val="left"/>
    </w:lvl>
    <w:lvl w:ilvl="4" w:tplc="9274FDE2">
      <w:numFmt w:val="decimal"/>
      <w:lvlText w:val=""/>
      <w:lvlJc w:val="left"/>
    </w:lvl>
    <w:lvl w:ilvl="5" w:tplc="6A98E708">
      <w:numFmt w:val="decimal"/>
      <w:lvlText w:val=""/>
      <w:lvlJc w:val="left"/>
    </w:lvl>
    <w:lvl w:ilvl="6" w:tplc="ABBE0B9A">
      <w:numFmt w:val="decimal"/>
      <w:lvlText w:val=""/>
      <w:lvlJc w:val="left"/>
    </w:lvl>
    <w:lvl w:ilvl="7" w:tplc="7D048BE8">
      <w:numFmt w:val="decimal"/>
      <w:lvlText w:val=""/>
      <w:lvlJc w:val="left"/>
    </w:lvl>
    <w:lvl w:ilvl="8" w:tplc="EFAAFA60">
      <w:numFmt w:val="decimal"/>
      <w:lvlText w:val=""/>
      <w:lvlJc w:val="left"/>
    </w:lvl>
  </w:abstractNum>
  <w:abstractNum w:abstractNumId="1" w15:restartNumberingAfterBreak="0">
    <w:nsid w:val="67FD2B80"/>
    <w:multiLevelType w:val="hybridMultilevel"/>
    <w:tmpl w:val="F774A9E2"/>
    <w:lvl w:ilvl="0" w:tplc="E2E4FD26">
      <w:start w:val="1"/>
      <w:numFmt w:val="bullet"/>
      <w:lvlText w:val="●"/>
      <w:lvlJc w:val="left"/>
      <w:pPr>
        <w:ind w:left="720" w:hanging="360"/>
      </w:pPr>
    </w:lvl>
    <w:lvl w:ilvl="1" w:tplc="50EE27A4">
      <w:start w:val="1"/>
      <w:numFmt w:val="bullet"/>
      <w:lvlText w:val="○"/>
      <w:lvlJc w:val="left"/>
      <w:pPr>
        <w:ind w:left="1440" w:hanging="360"/>
      </w:pPr>
    </w:lvl>
    <w:lvl w:ilvl="2" w:tplc="1A2ED9B2">
      <w:start w:val="1"/>
      <w:numFmt w:val="bullet"/>
      <w:lvlText w:val="■"/>
      <w:lvlJc w:val="left"/>
      <w:pPr>
        <w:ind w:left="2160" w:hanging="360"/>
      </w:pPr>
    </w:lvl>
    <w:lvl w:ilvl="3" w:tplc="16307654">
      <w:start w:val="1"/>
      <w:numFmt w:val="bullet"/>
      <w:lvlText w:val="●"/>
      <w:lvlJc w:val="left"/>
      <w:pPr>
        <w:ind w:left="2880" w:hanging="360"/>
      </w:pPr>
    </w:lvl>
    <w:lvl w:ilvl="4" w:tplc="E2AC71B6">
      <w:start w:val="1"/>
      <w:numFmt w:val="bullet"/>
      <w:lvlText w:val="○"/>
      <w:lvlJc w:val="left"/>
      <w:pPr>
        <w:ind w:left="3600" w:hanging="360"/>
      </w:pPr>
    </w:lvl>
    <w:lvl w:ilvl="5" w:tplc="E3165F4A">
      <w:start w:val="1"/>
      <w:numFmt w:val="bullet"/>
      <w:lvlText w:val="■"/>
      <w:lvlJc w:val="left"/>
      <w:pPr>
        <w:ind w:left="4320" w:hanging="360"/>
      </w:pPr>
    </w:lvl>
    <w:lvl w:ilvl="6" w:tplc="F1B8A172">
      <w:start w:val="1"/>
      <w:numFmt w:val="bullet"/>
      <w:lvlText w:val="●"/>
      <w:lvlJc w:val="left"/>
      <w:pPr>
        <w:ind w:left="5040" w:hanging="360"/>
      </w:pPr>
    </w:lvl>
    <w:lvl w:ilvl="7" w:tplc="1A58F522">
      <w:start w:val="1"/>
      <w:numFmt w:val="bullet"/>
      <w:lvlText w:val="●"/>
      <w:lvlJc w:val="left"/>
      <w:pPr>
        <w:ind w:left="5760" w:hanging="360"/>
      </w:pPr>
    </w:lvl>
    <w:lvl w:ilvl="8" w:tplc="B9A0E38E">
      <w:start w:val="1"/>
      <w:numFmt w:val="bullet"/>
      <w:lvlText w:val="●"/>
      <w:lvlJc w:val="left"/>
      <w:pPr>
        <w:ind w:left="6480" w:hanging="360"/>
      </w:pPr>
    </w:lvl>
  </w:abstractNum>
  <w:num w:numId="1" w16cid:durableId="1237789713">
    <w:abstractNumId w:val="1"/>
    <w:lvlOverride w:ilvl="0">
      <w:startOverride w:val="1"/>
    </w:lvlOverride>
  </w:num>
  <w:num w:numId="2" w16cid:durableId="1024669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F01"/>
    <w:rsid w:val="000B4F01"/>
    <w:rsid w:val="00294347"/>
    <w:rsid w:val="008F1EB0"/>
    <w:rsid w:val="00B0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3172"/>
  <w15:docId w15:val="{6A33DFEF-7D45-4377-9EAC-4A042D02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2857</Words>
  <Characters>16286</Characters>
  <Application>Microsoft Office Word</Application>
  <DocSecurity>0</DocSecurity>
  <Lines>135</Lines>
  <Paragraphs>38</Paragraphs>
  <ScaleCrop>false</ScaleCrop>
  <Company/>
  <LinksUpToDate>false</LinksUpToDate>
  <CharactersWithSpaces>19105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CSC 02</cp:lastModifiedBy>
  <cp:revision>2</cp:revision>
  <dcterms:created xsi:type="dcterms:W3CDTF">2026-03-02T10:05:00Z</dcterms:created>
  <dcterms:modified xsi:type="dcterms:W3CDTF">2026-03-02T10:11:00Z</dcterms:modified>
</cp:coreProperties>
</file>