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1CCC8" w14:textId="77777777" w:rsidR="00E20411" w:rsidRDefault="00000000">
      <w:pPr>
        <w:spacing w:before="1600"/>
        <w:jc w:val="center"/>
      </w:pPr>
      <w:r>
        <w:rPr>
          <w:b/>
          <w:bCs/>
          <w:color w:val="1F2D50"/>
          <w:spacing w:val="20"/>
          <w:sz w:val="64"/>
          <w:szCs w:val="64"/>
        </w:rPr>
        <w:t>CERTUS</w:t>
      </w:r>
    </w:p>
    <w:p w14:paraId="3A59DE16" w14:textId="77777777" w:rsidR="00E20411" w:rsidRDefault="00000000">
      <w:pPr>
        <w:spacing w:before="200" w:after="500"/>
        <w:jc w:val="center"/>
      </w:pPr>
      <w:r>
        <w:rPr>
          <w:b/>
          <w:bCs/>
          <w:color w:val="2E5C8A"/>
          <w:spacing w:val="10"/>
          <w:sz w:val="26"/>
          <w:szCs w:val="26"/>
        </w:rPr>
        <w:t>DISTRIBUTION-FREE RISK GUARANTEES</w:t>
      </w:r>
    </w:p>
    <w:p w14:paraId="24A9CC22" w14:textId="77777777" w:rsidR="00E20411" w:rsidRDefault="00000000">
      <w:pPr>
        <w:spacing w:after="700"/>
        <w:jc w:val="center"/>
      </w:pPr>
      <w:r>
        <w:rPr>
          <w:b/>
          <w:bCs/>
          <w:color w:val="2E5C8A"/>
          <w:spacing w:val="10"/>
          <w:sz w:val="26"/>
          <w:szCs w:val="26"/>
        </w:rPr>
        <w:t>FOR AUTOMATED VISUAL INSPECTION</w:t>
      </w:r>
    </w:p>
    <w:p w14:paraId="2108FB89" w14:textId="77777777" w:rsidR="00E20411" w:rsidRDefault="00000000">
      <w:pPr>
        <w:spacing w:after="900"/>
        <w:jc w:val="center"/>
      </w:pPr>
      <w:r>
        <w:rPr>
          <w:i/>
          <w:iCs/>
          <w:color w:val="6B7280"/>
          <w:sz w:val="22"/>
          <w:szCs w:val="22"/>
        </w:rPr>
        <w:t>Technical Blueprint &amp; Solo Execution Specification</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600"/>
      </w:tblGrid>
      <w:tr w:rsidR="00E20411" w14:paraId="5799C811" w14:textId="77777777">
        <w:tblPrEx>
          <w:tblCellMar>
            <w:top w:w="0" w:type="dxa"/>
            <w:bottom w:w="0" w:type="dxa"/>
          </w:tblCellMar>
        </w:tblPrEx>
        <w:trPr>
          <w:jc w:val="center"/>
        </w:trPr>
        <w:tc>
          <w:tcPr>
            <w:tcW w:w="2600" w:type="dxa"/>
            <w:shd w:val="clear" w:color="auto" w:fill="EAF0F7"/>
            <w:tcMar>
              <w:top w:w="100" w:type="dxa"/>
              <w:left w:w="150" w:type="dxa"/>
              <w:bottom w:w="100" w:type="dxa"/>
              <w:right w:w="150" w:type="dxa"/>
            </w:tcMar>
          </w:tcPr>
          <w:p w14:paraId="70A67FAC" w14:textId="77777777" w:rsidR="00E20411" w:rsidRDefault="00000000">
            <w:r>
              <w:rPr>
                <w:b/>
                <w:bCs/>
                <w:color w:val="1F2D50"/>
                <w:sz w:val="19"/>
                <w:szCs w:val="19"/>
              </w:rPr>
              <w:t>Domain</w:t>
            </w:r>
          </w:p>
        </w:tc>
        <w:tc>
          <w:tcPr>
            <w:tcW w:w="4600" w:type="dxa"/>
            <w:tcMar>
              <w:top w:w="100" w:type="dxa"/>
              <w:left w:w="150" w:type="dxa"/>
              <w:bottom w:w="100" w:type="dxa"/>
              <w:right w:w="150" w:type="dxa"/>
            </w:tcMar>
          </w:tcPr>
          <w:p w14:paraId="3E7CDF92" w14:textId="77777777" w:rsidR="00E20411" w:rsidRDefault="00000000">
            <w:r>
              <w:rPr>
                <w:sz w:val="19"/>
                <w:szCs w:val="19"/>
              </w:rPr>
              <w:t>Conformal Prediction · Risk Control · Vision-Language Models · Automated Visual Inspection</w:t>
            </w:r>
          </w:p>
        </w:tc>
      </w:tr>
      <w:tr w:rsidR="00E20411" w14:paraId="75835491" w14:textId="77777777">
        <w:tblPrEx>
          <w:tblCellMar>
            <w:top w:w="0" w:type="dxa"/>
            <w:bottom w:w="0" w:type="dxa"/>
          </w:tblCellMar>
        </w:tblPrEx>
        <w:trPr>
          <w:jc w:val="center"/>
        </w:trPr>
        <w:tc>
          <w:tcPr>
            <w:tcW w:w="2600" w:type="dxa"/>
            <w:shd w:val="clear" w:color="auto" w:fill="EAF0F7"/>
            <w:tcMar>
              <w:top w:w="100" w:type="dxa"/>
              <w:left w:w="150" w:type="dxa"/>
              <w:bottom w:w="100" w:type="dxa"/>
              <w:right w:w="150" w:type="dxa"/>
            </w:tcMar>
          </w:tcPr>
          <w:p w14:paraId="419D20D2" w14:textId="77777777" w:rsidR="00E20411" w:rsidRDefault="00000000">
            <w:r>
              <w:rPr>
                <w:b/>
                <w:bCs/>
                <w:color w:val="1F2D50"/>
                <w:sz w:val="19"/>
                <w:szCs w:val="19"/>
              </w:rPr>
              <w:t>Principal Investigator</w:t>
            </w:r>
          </w:p>
        </w:tc>
        <w:tc>
          <w:tcPr>
            <w:tcW w:w="4600" w:type="dxa"/>
            <w:tcMar>
              <w:top w:w="100" w:type="dxa"/>
              <w:left w:w="150" w:type="dxa"/>
              <w:bottom w:w="100" w:type="dxa"/>
              <w:right w:w="150" w:type="dxa"/>
            </w:tcMar>
          </w:tcPr>
          <w:p w14:paraId="440100AA" w14:textId="7A4FAF3D" w:rsidR="00E20411" w:rsidRPr="00524F7B" w:rsidRDefault="00524F7B">
            <w:pPr>
              <w:rPr>
                <w:sz w:val="19"/>
                <w:szCs w:val="19"/>
              </w:rPr>
            </w:pPr>
            <w:r>
              <w:rPr>
                <w:sz w:val="19"/>
                <w:szCs w:val="19"/>
              </w:rPr>
              <w:t xml:space="preserve">Rishikesh </w:t>
            </w:r>
            <w:proofErr w:type="spellStart"/>
            <w:r>
              <w:rPr>
                <w:sz w:val="19"/>
                <w:szCs w:val="19"/>
              </w:rPr>
              <w:t>Talpaliker</w:t>
            </w:r>
            <w:proofErr w:type="spellEnd"/>
            <w:r w:rsidR="00000000">
              <w:rPr>
                <w:sz w:val="19"/>
                <w:szCs w:val="19"/>
              </w:rPr>
              <w:t xml:space="preserve"> — Solo Developer</w:t>
            </w:r>
          </w:p>
        </w:tc>
      </w:tr>
      <w:tr w:rsidR="00E20411" w14:paraId="790B5818" w14:textId="77777777">
        <w:tblPrEx>
          <w:tblCellMar>
            <w:top w:w="0" w:type="dxa"/>
            <w:bottom w:w="0" w:type="dxa"/>
          </w:tblCellMar>
        </w:tblPrEx>
        <w:trPr>
          <w:jc w:val="center"/>
        </w:trPr>
        <w:tc>
          <w:tcPr>
            <w:tcW w:w="2600" w:type="dxa"/>
            <w:shd w:val="clear" w:color="auto" w:fill="EAF0F7"/>
            <w:tcMar>
              <w:top w:w="100" w:type="dxa"/>
              <w:left w:w="150" w:type="dxa"/>
              <w:bottom w:w="100" w:type="dxa"/>
              <w:right w:w="150" w:type="dxa"/>
            </w:tcMar>
          </w:tcPr>
          <w:p w14:paraId="4A504493" w14:textId="77777777" w:rsidR="00E20411" w:rsidRDefault="00000000">
            <w:r>
              <w:rPr>
                <w:b/>
                <w:bCs/>
                <w:color w:val="1F2D50"/>
                <w:sz w:val="19"/>
                <w:szCs w:val="19"/>
              </w:rPr>
              <w:t>Programme</w:t>
            </w:r>
          </w:p>
        </w:tc>
        <w:tc>
          <w:tcPr>
            <w:tcW w:w="4600" w:type="dxa"/>
            <w:tcMar>
              <w:top w:w="100" w:type="dxa"/>
              <w:left w:w="150" w:type="dxa"/>
              <w:bottom w:w="100" w:type="dxa"/>
              <w:right w:w="150" w:type="dxa"/>
            </w:tcMar>
          </w:tcPr>
          <w:p w14:paraId="046385A9" w14:textId="77777777" w:rsidR="00E20411" w:rsidRDefault="00000000">
            <w:proofErr w:type="spellStart"/>
            <w:r>
              <w:rPr>
                <w:sz w:val="19"/>
                <w:szCs w:val="19"/>
              </w:rPr>
              <w:t>B.Tech</w:t>
            </w:r>
            <w:proofErr w:type="spellEnd"/>
            <w:r>
              <w:rPr>
                <w:sz w:val="19"/>
                <w:szCs w:val="19"/>
              </w:rPr>
              <w:t xml:space="preserve"> CSE (Data Science), NMIMS Hyderabad, 2023–2027</w:t>
            </w:r>
          </w:p>
        </w:tc>
      </w:tr>
      <w:tr w:rsidR="00E20411" w14:paraId="7AC0FB6E" w14:textId="77777777">
        <w:tblPrEx>
          <w:tblCellMar>
            <w:top w:w="0" w:type="dxa"/>
            <w:bottom w:w="0" w:type="dxa"/>
          </w:tblCellMar>
        </w:tblPrEx>
        <w:trPr>
          <w:jc w:val="center"/>
        </w:trPr>
        <w:tc>
          <w:tcPr>
            <w:tcW w:w="2600" w:type="dxa"/>
            <w:shd w:val="clear" w:color="auto" w:fill="EAF0F7"/>
            <w:tcMar>
              <w:top w:w="100" w:type="dxa"/>
              <w:left w:w="150" w:type="dxa"/>
              <w:bottom w:w="100" w:type="dxa"/>
              <w:right w:w="150" w:type="dxa"/>
            </w:tcMar>
          </w:tcPr>
          <w:p w14:paraId="433F774C" w14:textId="77777777" w:rsidR="00E20411" w:rsidRDefault="00000000">
            <w:r>
              <w:rPr>
                <w:b/>
                <w:bCs/>
                <w:color w:val="1F2D50"/>
                <w:sz w:val="19"/>
                <w:szCs w:val="19"/>
              </w:rPr>
              <w:t>Team Configuration</w:t>
            </w:r>
          </w:p>
        </w:tc>
        <w:tc>
          <w:tcPr>
            <w:tcW w:w="4600" w:type="dxa"/>
            <w:tcMar>
              <w:top w:w="100" w:type="dxa"/>
              <w:left w:w="150" w:type="dxa"/>
              <w:bottom w:w="100" w:type="dxa"/>
              <w:right w:w="150" w:type="dxa"/>
            </w:tcMar>
          </w:tcPr>
          <w:p w14:paraId="74D06BB5" w14:textId="77777777" w:rsidR="00E20411" w:rsidRDefault="00000000">
            <w:r>
              <w:rPr>
                <w:sz w:val="19"/>
                <w:szCs w:val="19"/>
              </w:rPr>
              <w:t>Solo (single-owner execution — one person across all roles)</w:t>
            </w:r>
          </w:p>
        </w:tc>
      </w:tr>
      <w:tr w:rsidR="00E20411" w14:paraId="0810C4BB" w14:textId="77777777">
        <w:tblPrEx>
          <w:tblCellMar>
            <w:top w:w="0" w:type="dxa"/>
            <w:bottom w:w="0" w:type="dxa"/>
          </w:tblCellMar>
        </w:tblPrEx>
        <w:trPr>
          <w:jc w:val="center"/>
        </w:trPr>
        <w:tc>
          <w:tcPr>
            <w:tcW w:w="2600" w:type="dxa"/>
            <w:shd w:val="clear" w:color="auto" w:fill="EAF0F7"/>
            <w:tcMar>
              <w:top w:w="100" w:type="dxa"/>
              <w:left w:w="150" w:type="dxa"/>
              <w:bottom w:w="100" w:type="dxa"/>
              <w:right w:w="150" w:type="dxa"/>
            </w:tcMar>
          </w:tcPr>
          <w:p w14:paraId="587AB4C1" w14:textId="77777777" w:rsidR="00E20411" w:rsidRDefault="00000000">
            <w:r>
              <w:rPr>
                <w:b/>
                <w:bCs/>
                <w:color w:val="1F2D50"/>
                <w:sz w:val="19"/>
                <w:szCs w:val="19"/>
              </w:rPr>
              <w:t>Base Asset</w:t>
            </w:r>
          </w:p>
        </w:tc>
        <w:tc>
          <w:tcPr>
            <w:tcW w:w="4600" w:type="dxa"/>
            <w:tcMar>
              <w:top w:w="100" w:type="dxa"/>
              <w:left w:w="150" w:type="dxa"/>
              <w:bottom w:w="100" w:type="dxa"/>
              <w:right w:w="150" w:type="dxa"/>
            </w:tcMar>
          </w:tcPr>
          <w:p w14:paraId="76752B73" w14:textId="77777777" w:rsidR="00E20411" w:rsidRDefault="00000000">
            <w:r>
              <w:rPr>
                <w:sz w:val="19"/>
                <w:szCs w:val="19"/>
              </w:rPr>
              <w:t xml:space="preserve">Existing fine-tuned VLM for building-defect detection (CBRI dataset, </w:t>
            </w:r>
            <w:proofErr w:type="spellStart"/>
            <w:r>
              <w:rPr>
                <w:sz w:val="19"/>
                <w:szCs w:val="19"/>
              </w:rPr>
              <w:t>Roboflow</w:t>
            </w:r>
            <w:proofErr w:type="spellEnd"/>
            <w:r>
              <w:rPr>
                <w:sz w:val="19"/>
                <w:szCs w:val="19"/>
              </w:rPr>
              <w:t>)</w:t>
            </w:r>
          </w:p>
        </w:tc>
      </w:tr>
      <w:tr w:rsidR="00E20411" w14:paraId="737A620F" w14:textId="77777777">
        <w:tblPrEx>
          <w:tblCellMar>
            <w:top w:w="0" w:type="dxa"/>
            <w:bottom w:w="0" w:type="dxa"/>
          </w:tblCellMar>
        </w:tblPrEx>
        <w:trPr>
          <w:jc w:val="center"/>
        </w:trPr>
        <w:tc>
          <w:tcPr>
            <w:tcW w:w="2600" w:type="dxa"/>
            <w:shd w:val="clear" w:color="auto" w:fill="EAF0F7"/>
            <w:tcMar>
              <w:top w:w="100" w:type="dxa"/>
              <w:left w:w="150" w:type="dxa"/>
              <w:bottom w:w="100" w:type="dxa"/>
              <w:right w:w="150" w:type="dxa"/>
            </w:tcMar>
          </w:tcPr>
          <w:p w14:paraId="0657E76B" w14:textId="77777777" w:rsidR="00E20411" w:rsidRDefault="00000000">
            <w:r>
              <w:rPr>
                <w:b/>
                <w:bCs/>
                <w:color w:val="1F2D50"/>
                <w:sz w:val="19"/>
                <w:szCs w:val="19"/>
              </w:rPr>
              <w:t>Hard Deadline Driver</w:t>
            </w:r>
          </w:p>
        </w:tc>
        <w:tc>
          <w:tcPr>
            <w:tcW w:w="4600" w:type="dxa"/>
            <w:tcMar>
              <w:top w:w="100" w:type="dxa"/>
              <w:left w:w="150" w:type="dxa"/>
              <w:bottom w:w="100" w:type="dxa"/>
              <w:right w:w="150" w:type="dxa"/>
            </w:tcMar>
          </w:tcPr>
          <w:p w14:paraId="7555B129" w14:textId="77777777" w:rsidR="00E20411" w:rsidRDefault="00000000">
            <w:r>
              <w:rPr>
                <w:sz w:val="19"/>
                <w:szCs w:val="19"/>
              </w:rPr>
              <w:t>European Masters applications — TU Delft, TUM, ETH Zurich (Dec 2026 / Jan 2027)</w:t>
            </w:r>
          </w:p>
        </w:tc>
      </w:tr>
      <w:tr w:rsidR="00E20411" w14:paraId="23CE3C76" w14:textId="77777777">
        <w:tblPrEx>
          <w:tblCellMar>
            <w:top w:w="0" w:type="dxa"/>
            <w:bottom w:w="0" w:type="dxa"/>
          </w:tblCellMar>
        </w:tblPrEx>
        <w:trPr>
          <w:jc w:val="center"/>
        </w:trPr>
        <w:tc>
          <w:tcPr>
            <w:tcW w:w="2600" w:type="dxa"/>
            <w:shd w:val="clear" w:color="auto" w:fill="EAF0F7"/>
            <w:tcMar>
              <w:top w:w="100" w:type="dxa"/>
              <w:left w:w="150" w:type="dxa"/>
              <w:bottom w:w="100" w:type="dxa"/>
              <w:right w:w="150" w:type="dxa"/>
            </w:tcMar>
          </w:tcPr>
          <w:p w14:paraId="3910D681" w14:textId="77777777" w:rsidR="00E20411" w:rsidRDefault="00000000">
            <w:r>
              <w:rPr>
                <w:b/>
                <w:bCs/>
                <w:color w:val="1F2D50"/>
                <w:sz w:val="19"/>
                <w:szCs w:val="19"/>
              </w:rPr>
              <w:t>Document Type</w:t>
            </w:r>
          </w:p>
        </w:tc>
        <w:tc>
          <w:tcPr>
            <w:tcW w:w="4600" w:type="dxa"/>
            <w:tcMar>
              <w:top w:w="100" w:type="dxa"/>
              <w:left w:w="150" w:type="dxa"/>
              <w:bottom w:w="100" w:type="dxa"/>
              <w:right w:w="150" w:type="dxa"/>
            </w:tcMar>
          </w:tcPr>
          <w:p w14:paraId="5601F2D8" w14:textId="77777777" w:rsidR="00E20411" w:rsidRDefault="00000000">
            <w:r>
              <w:rPr>
                <w:sz w:val="19"/>
                <w:szCs w:val="19"/>
              </w:rPr>
              <w:t>Technical Blueprint &amp; Project Specification</w:t>
            </w:r>
          </w:p>
        </w:tc>
      </w:tr>
      <w:tr w:rsidR="00E20411" w14:paraId="0E27F5E9" w14:textId="77777777">
        <w:tblPrEx>
          <w:tblCellMar>
            <w:top w:w="0" w:type="dxa"/>
            <w:bottom w:w="0" w:type="dxa"/>
          </w:tblCellMar>
        </w:tblPrEx>
        <w:trPr>
          <w:jc w:val="center"/>
        </w:trPr>
        <w:tc>
          <w:tcPr>
            <w:tcW w:w="2600" w:type="dxa"/>
            <w:shd w:val="clear" w:color="auto" w:fill="EAF0F7"/>
            <w:tcMar>
              <w:top w:w="100" w:type="dxa"/>
              <w:left w:w="150" w:type="dxa"/>
              <w:bottom w:w="100" w:type="dxa"/>
              <w:right w:w="150" w:type="dxa"/>
            </w:tcMar>
          </w:tcPr>
          <w:p w14:paraId="39F2353D" w14:textId="77777777" w:rsidR="00E20411" w:rsidRDefault="00000000">
            <w:r>
              <w:rPr>
                <w:b/>
                <w:bCs/>
                <w:color w:val="1F2D50"/>
                <w:sz w:val="19"/>
                <w:szCs w:val="19"/>
              </w:rPr>
              <w:t>Version</w:t>
            </w:r>
          </w:p>
        </w:tc>
        <w:tc>
          <w:tcPr>
            <w:tcW w:w="4600" w:type="dxa"/>
            <w:tcMar>
              <w:top w:w="100" w:type="dxa"/>
              <w:left w:w="150" w:type="dxa"/>
              <w:bottom w:w="100" w:type="dxa"/>
              <w:right w:w="150" w:type="dxa"/>
            </w:tcMar>
          </w:tcPr>
          <w:p w14:paraId="1BF12BBF" w14:textId="77777777" w:rsidR="00E20411" w:rsidRDefault="00000000">
            <w:r>
              <w:rPr>
                <w:sz w:val="19"/>
                <w:szCs w:val="19"/>
              </w:rPr>
              <w:t>v1.0</w:t>
            </w:r>
          </w:p>
        </w:tc>
      </w:tr>
      <w:tr w:rsidR="00E20411" w14:paraId="392987DE" w14:textId="77777777">
        <w:tblPrEx>
          <w:tblCellMar>
            <w:top w:w="0" w:type="dxa"/>
            <w:bottom w:w="0" w:type="dxa"/>
          </w:tblCellMar>
        </w:tblPrEx>
        <w:trPr>
          <w:jc w:val="center"/>
        </w:trPr>
        <w:tc>
          <w:tcPr>
            <w:tcW w:w="2600" w:type="dxa"/>
            <w:shd w:val="clear" w:color="auto" w:fill="EAF0F7"/>
            <w:tcMar>
              <w:top w:w="100" w:type="dxa"/>
              <w:left w:w="150" w:type="dxa"/>
              <w:bottom w:w="100" w:type="dxa"/>
              <w:right w:w="150" w:type="dxa"/>
            </w:tcMar>
          </w:tcPr>
          <w:p w14:paraId="2E11B5FA" w14:textId="77777777" w:rsidR="00E20411" w:rsidRDefault="00000000">
            <w:r>
              <w:rPr>
                <w:b/>
                <w:bCs/>
                <w:color w:val="1F2D50"/>
                <w:sz w:val="19"/>
                <w:szCs w:val="19"/>
              </w:rPr>
              <w:t>Date</w:t>
            </w:r>
          </w:p>
        </w:tc>
        <w:tc>
          <w:tcPr>
            <w:tcW w:w="4600" w:type="dxa"/>
            <w:tcMar>
              <w:top w:w="100" w:type="dxa"/>
              <w:left w:w="150" w:type="dxa"/>
              <w:bottom w:w="100" w:type="dxa"/>
              <w:right w:w="150" w:type="dxa"/>
            </w:tcMar>
          </w:tcPr>
          <w:p w14:paraId="787EF27C" w14:textId="77777777" w:rsidR="00E20411" w:rsidRDefault="00000000">
            <w:r>
              <w:rPr>
                <w:sz w:val="19"/>
                <w:szCs w:val="19"/>
              </w:rPr>
              <w:t>15 August 2026</w:t>
            </w:r>
          </w:p>
        </w:tc>
      </w:tr>
    </w:tbl>
    <w:p w14:paraId="094E1D34" w14:textId="77777777" w:rsidR="00E20411" w:rsidRDefault="00000000">
      <w:r>
        <w:br w:type="page"/>
      </w:r>
    </w:p>
    <w:p w14:paraId="14C3074B" w14:textId="77777777" w:rsidR="00E20411" w:rsidRDefault="00E20411">
      <w:pPr>
        <w:sectPr w:rsidR="00E20411">
          <w:pgSz w:w="12240" w:h="15840"/>
          <w:pgMar w:top="1440" w:right="1350" w:bottom="1440" w:left="1350" w:header="708" w:footer="708" w:gutter="0"/>
          <w:cols w:space="720"/>
          <w:docGrid w:linePitch="360"/>
        </w:sectPr>
      </w:pPr>
    </w:p>
    <w:p w14:paraId="18FB92F4" w14:textId="77777777" w:rsidR="00E20411" w:rsidRDefault="00000000">
      <w:pPr>
        <w:pStyle w:val="Heading1"/>
        <w:spacing w:before="400" w:after="200"/>
      </w:pPr>
      <w:bookmarkStart w:id="0" w:name="_Toc237730561"/>
      <w:r>
        <w:lastRenderedPageBreak/>
        <w:t>The Contribution, in One Sentence</w:t>
      </w:r>
      <w:bookmarkEnd w:id="0"/>
    </w:p>
    <w:tbl>
      <w:tblPr>
        <w:tblW w:w="5000" w:type="pct"/>
        <w:tblBorders>
          <w:top w:val="single" w:sz="8" w:space="0" w:color="1F2D50"/>
          <w:left w:val="single" w:sz="8" w:space="0" w:color="1F2D50"/>
          <w:bottom w:val="single" w:sz="8" w:space="0" w:color="1F2D50"/>
          <w:right w:val="single" w:sz="8" w:space="0" w:color="1F2D5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6"/>
      </w:tblGrid>
      <w:tr w:rsidR="00E20411" w14:paraId="6FA34D12" w14:textId="77777777">
        <w:tblPrEx>
          <w:tblCellMar>
            <w:top w:w="0" w:type="dxa"/>
            <w:bottom w:w="0" w:type="dxa"/>
          </w:tblCellMar>
        </w:tblPrEx>
        <w:tc>
          <w:tcPr>
            <w:tcW w:w="0" w:type="auto"/>
            <w:shd w:val="clear" w:color="auto" w:fill="EAF0F7"/>
            <w:tcMar>
              <w:top w:w="160" w:type="dxa"/>
              <w:left w:w="200" w:type="dxa"/>
              <w:bottom w:w="160" w:type="dxa"/>
              <w:right w:w="200" w:type="dxa"/>
            </w:tcMar>
          </w:tcPr>
          <w:p w14:paraId="064151CB" w14:textId="77777777" w:rsidR="00E20411" w:rsidRDefault="00000000">
            <w:pPr>
              <w:spacing w:after="90"/>
            </w:pPr>
            <w:r>
              <w:rPr>
                <w:b/>
                <w:bCs/>
                <w:caps/>
                <w:color w:val="1F2D50"/>
                <w:spacing w:val="10"/>
                <w:sz w:val="19"/>
                <w:szCs w:val="19"/>
              </w:rPr>
              <w:t>THESIS</w:t>
            </w:r>
          </w:p>
          <w:p w14:paraId="12EB803D" w14:textId="77777777" w:rsidR="00E20411" w:rsidRDefault="00000000">
            <w:pPr>
              <w:spacing w:after="80" w:line="264" w:lineRule="auto"/>
            </w:pPr>
            <w:r>
              <w:rPr>
                <w:sz w:val="20"/>
                <w:szCs w:val="20"/>
              </w:rPr>
              <w:t>"Accuracy is the wrong deployment metric for automated visual inspection. The decision-relevant quantity is the human-review fraction required to hold missed defects below a fixed risk budget, and that quantity can be bounded without distributional assumptions — but the bound silently breaks under site-level distribution shift, which is the operating condition inspection systems actually face. We quantify the break and measure how much of the guarantee shift-aware calibration recovers, and at what cost."</w:t>
            </w:r>
          </w:p>
        </w:tc>
      </w:tr>
    </w:tbl>
    <w:p w14:paraId="66D08C1F" w14:textId="77777777" w:rsidR="00E20411" w:rsidRDefault="00E20411">
      <w:pPr>
        <w:spacing w:after="300"/>
      </w:pPr>
    </w:p>
    <w:p w14:paraId="699C6058" w14:textId="77777777" w:rsidR="00E20411" w:rsidRDefault="00000000">
      <w:pPr>
        <w:pStyle w:val="Heading1"/>
        <w:spacing w:before="400" w:after="200"/>
      </w:pPr>
      <w:bookmarkStart w:id="1" w:name="_Toc237730562"/>
      <w:r>
        <w:t>Contents</w:t>
      </w:r>
      <w:bookmarkEnd w:id="1"/>
    </w:p>
    <w:sdt>
      <w:sdtPr>
        <w:alias w:val="Table of Contents"/>
        <w:id w:val="-1717115936"/>
      </w:sdtPr>
      <w:sdtContent>
        <w:p w14:paraId="2F28FD11" w14:textId="77777777" w:rsidR="00524F7B" w:rsidRDefault="00000000">
          <w:pPr>
            <w:pStyle w:val="TOC1"/>
            <w:tabs>
              <w:tab w:val="right" w:leader="dot" w:pos="9016"/>
            </w:tabs>
            <w:rPr>
              <w:noProof/>
            </w:rPr>
          </w:pPr>
          <w:r>
            <w:fldChar w:fldCharType="begin"/>
          </w:r>
          <w:r>
            <w:instrText>TOC \h \o "1-2"</w:instrText>
          </w:r>
          <w:r>
            <w:fldChar w:fldCharType="separate"/>
          </w:r>
          <w:hyperlink w:anchor="_Toc237730561" w:history="1">
            <w:r w:rsidR="00524F7B" w:rsidRPr="00931EAF">
              <w:rPr>
                <w:rStyle w:val="Hyperlink"/>
                <w:noProof/>
              </w:rPr>
              <w:t>The Contribution, in One Sentence</w:t>
            </w:r>
            <w:r w:rsidR="00524F7B">
              <w:rPr>
                <w:noProof/>
              </w:rPr>
              <w:tab/>
            </w:r>
            <w:r w:rsidR="00524F7B">
              <w:rPr>
                <w:noProof/>
              </w:rPr>
              <w:fldChar w:fldCharType="begin"/>
            </w:r>
            <w:r w:rsidR="00524F7B">
              <w:rPr>
                <w:noProof/>
              </w:rPr>
              <w:instrText xml:space="preserve"> PAGEREF _Toc237730561 \h </w:instrText>
            </w:r>
            <w:r w:rsidR="00524F7B">
              <w:rPr>
                <w:noProof/>
              </w:rPr>
            </w:r>
            <w:r w:rsidR="00524F7B">
              <w:rPr>
                <w:noProof/>
              </w:rPr>
              <w:fldChar w:fldCharType="separate"/>
            </w:r>
            <w:r w:rsidR="00524F7B">
              <w:rPr>
                <w:noProof/>
              </w:rPr>
              <w:t>1</w:t>
            </w:r>
            <w:r w:rsidR="00524F7B">
              <w:rPr>
                <w:noProof/>
              </w:rPr>
              <w:fldChar w:fldCharType="end"/>
            </w:r>
          </w:hyperlink>
        </w:p>
        <w:p w14:paraId="52813AA2" w14:textId="77777777" w:rsidR="00524F7B" w:rsidRDefault="00524F7B">
          <w:pPr>
            <w:pStyle w:val="TOC1"/>
            <w:tabs>
              <w:tab w:val="right" w:leader="dot" w:pos="9016"/>
            </w:tabs>
            <w:rPr>
              <w:noProof/>
            </w:rPr>
          </w:pPr>
          <w:hyperlink w:anchor="_Toc237730562" w:history="1">
            <w:r w:rsidRPr="00931EAF">
              <w:rPr>
                <w:rStyle w:val="Hyperlink"/>
                <w:noProof/>
              </w:rPr>
              <w:t>Contents</w:t>
            </w:r>
            <w:r>
              <w:rPr>
                <w:noProof/>
              </w:rPr>
              <w:tab/>
            </w:r>
            <w:r>
              <w:rPr>
                <w:noProof/>
              </w:rPr>
              <w:fldChar w:fldCharType="begin"/>
            </w:r>
            <w:r>
              <w:rPr>
                <w:noProof/>
              </w:rPr>
              <w:instrText xml:space="preserve"> PAGEREF _Toc237730562 \h </w:instrText>
            </w:r>
            <w:r>
              <w:rPr>
                <w:noProof/>
              </w:rPr>
            </w:r>
            <w:r>
              <w:rPr>
                <w:noProof/>
              </w:rPr>
              <w:fldChar w:fldCharType="separate"/>
            </w:r>
            <w:r>
              <w:rPr>
                <w:noProof/>
              </w:rPr>
              <w:t>1</w:t>
            </w:r>
            <w:r>
              <w:rPr>
                <w:noProof/>
              </w:rPr>
              <w:fldChar w:fldCharType="end"/>
            </w:r>
          </w:hyperlink>
        </w:p>
        <w:p w14:paraId="42B3414D" w14:textId="77777777" w:rsidR="00524F7B" w:rsidRDefault="00524F7B">
          <w:pPr>
            <w:pStyle w:val="TOC1"/>
            <w:tabs>
              <w:tab w:val="right" w:leader="dot" w:pos="9016"/>
            </w:tabs>
            <w:rPr>
              <w:noProof/>
            </w:rPr>
          </w:pPr>
          <w:hyperlink w:anchor="_Toc237730563" w:history="1">
            <w:r w:rsidRPr="00931EAF">
              <w:rPr>
                <w:rStyle w:val="Hyperlink"/>
                <w:noProof/>
              </w:rPr>
              <w:t>4. Executive Summary</w:t>
            </w:r>
            <w:r>
              <w:rPr>
                <w:noProof/>
              </w:rPr>
              <w:tab/>
            </w:r>
            <w:r>
              <w:rPr>
                <w:noProof/>
              </w:rPr>
              <w:fldChar w:fldCharType="begin"/>
            </w:r>
            <w:r>
              <w:rPr>
                <w:noProof/>
              </w:rPr>
              <w:instrText xml:space="preserve"> PAGEREF _Toc237730563 \h </w:instrText>
            </w:r>
            <w:r>
              <w:rPr>
                <w:noProof/>
              </w:rPr>
            </w:r>
            <w:r>
              <w:rPr>
                <w:noProof/>
              </w:rPr>
              <w:fldChar w:fldCharType="separate"/>
            </w:r>
            <w:r>
              <w:rPr>
                <w:noProof/>
              </w:rPr>
              <w:t>1</w:t>
            </w:r>
            <w:r>
              <w:rPr>
                <w:noProof/>
              </w:rPr>
              <w:fldChar w:fldCharType="end"/>
            </w:r>
          </w:hyperlink>
        </w:p>
        <w:p w14:paraId="71DD08C0" w14:textId="77777777" w:rsidR="00524F7B" w:rsidRDefault="00524F7B">
          <w:pPr>
            <w:pStyle w:val="TOC1"/>
            <w:tabs>
              <w:tab w:val="right" w:leader="dot" w:pos="9016"/>
            </w:tabs>
            <w:rPr>
              <w:noProof/>
            </w:rPr>
          </w:pPr>
          <w:hyperlink w:anchor="_Toc237730564" w:history="1">
            <w:r w:rsidRPr="00931EAF">
              <w:rPr>
                <w:rStyle w:val="Hyperlink"/>
                <w:noProof/>
              </w:rPr>
              <w:t>5. How to Read This Document</w:t>
            </w:r>
            <w:r>
              <w:rPr>
                <w:noProof/>
              </w:rPr>
              <w:tab/>
            </w:r>
            <w:r>
              <w:rPr>
                <w:noProof/>
              </w:rPr>
              <w:fldChar w:fldCharType="begin"/>
            </w:r>
            <w:r>
              <w:rPr>
                <w:noProof/>
              </w:rPr>
              <w:instrText xml:space="preserve"> PAGEREF _Toc237730564 \h </w:instrText>
            </w:r>
            <w:r>
              <w:rPr>
                <w:noProof/>
              </w:rPr>
            </w:r>
            <w:r>
              <w:rPr>
                <w:noProof/>
              </w:rPr>
              <w:fldChar w:fldCharType="separate"/>
            </w:r>
            <w:r>
              <w:rPr>
                <w:noProof/>
              </w:rPr>
              <w:t>1</w:t>
            </w:r>
            <w:r>
              <w:rPr>
                <w:noProof/>
              </w:rPr>
              <w:fldChar w:fldCharType="end"/>
            </w:r>
          </w:hyperlink>
        </w:p>
        <w:p w14:paraId="47A5AF87" w14:textId="77777777" w:rsidR="00524F7B" w:rsidRDefault="00524F7B">
          <w:pPr>
            <w:pStyle w:val="TOC1"/>
            <w:tabs>
              <w:tab w:val="right" w:leader="dot" w:pos="9016"/>
            </w:tabs>
            <w:rPr>
              <w:noProof/>
            </w:rPr>
          </w:pPr>
          <w:hyperlink w:anchor="_Toc237730565" w:history="1">
            <w:r w:rsidRPr="00931EAF">
              <w:rPr>
                <w:rStyle w:val="Hyperlink"/>
                <w:noProof/>
              </w:rPr>
              <w:t>6. The Problem, in Plain Terms</w:t>
            </w:r>
            <w:r>
              <w:rPr>
                <w:noProof/>
              </w:rPr>
              <w:tab/>
            </w:r>
            <w:r>
              <w:rPr>
                <w:noProof/>
              </w:rPr>
              <w:fldChar w:fldCharType="begin"/>
            </w:r>
            <w:r>
              <w:rPr>
                <w:noProof/>
              </w:rPr>
              <w:instrText xml:space="preserve"> PAGEREF _Toc237730565 \h </w:instrText>
            </w:r>
            <w:r>
              <w:rPr>
                <w:noProof/>
              </w:rPr>
            </w:r>
            <w:r>
              <w:rPr>
                <w:noProof/>
              </w:rPr>
              <w:fldChar w:fldCharType="separate"/>
            </w:r>
            <w:r>
              <w:rPr>
                <w:noProof/>
              </w:rPr>
              <w:t>1</w:t>
            </w:r>
            <w:r>
              <w:rPr>
                <w:noProof/>
              </w:rPr>
              <w:fldChar w:fldCharType="end"/>
            </w:r>
          </w:hyperlink>
        </w:p>
        <w:p w14:paraId="3A4B9899" w14:textId="77777777" w:rsidR="00524F7B" w:rsidRDefault="00524F7B">
          <w:pPr>
            <w:pStyle w:val="TOC1"/>
            <w:tabs>
              <w:tab w:val="right" w:leader="dot" w:pos="9016"/>
            </w:tabs>
            <w:rPr>
              <w:noProof/>
            </w:rPr>
          </w:pPr>
          <w:hyperlink w:anchor="_Toc237730566" w:history="1">
            <w:r w:rsidRPr="00931EAF">
              <w:rPr>
                <w:rStyle w:val="Hyperlink"/>
                <w:noProof/>
              </w:rPr>
              <w:t>7. How Automated Visual Inspection Works Today</w:t>
            </w:r>
            <w:r>
              <w:rPr>
                <w:noProof/>
              </w:rPr>
              <w:tab/>
            </w:r>
            <w:r>
              <w:rPr>
                <w:noProof/>
              </w:rPr>
              <w:fldChar w:fldCharType="begin"/>
            </w:r>
            <w:r>
              <w:rPr>
                <w:noProof/>
              </w:rPr>
              <w:instrText xml:space="preserve"> PAGEREF _Toc237730566 \h </w:instrText>
            </w:r>
            <w:r>
              <w:rPr>
                <w:noProof/>
              </w:rPr>
            </w:r>
            <w:r>
              <w:rPr>
                <w:noProof/>
              </w:rPr>
              <w:fldChar w:fldCharType="separate"/>
            </w:r>
            <w:r>
              <w:rPr>
                <w:noProof/>
              </w:rPr>
              <w:t>1</w:t>
            </w:r>
            <w:r>
              <w:rPr>
                <w:noProof/>
              </w:rPr>
              <w:fldChar w:fldCharType="end"/>
            </w:r>
          </w:hyperlink>
        </w:p>
        <w:p w14:paraId="0129F529" w14:textId="77777777" w:rsidR="00524F7B" w:rsidRDefault="00524F7B">
          <w:pPr>
            <w:pStyle w:val="TOC1"/>
            <w:tabs>
              <w:tab w:val="right" w:leader="dot" w:pos="9016"/>
            </w:tabs>
            <w:rPr>
              <w:noProof/>
            </w:rPr>
          </w:pPr>
          <w:hyperlink w:anchor="_Toc237730567" w:history="1">
            <w:r w:rsidRPr="00931EAF">
              <w:rPr>
                <w:rStyle w:val="Hyperlink"/>
                <w:noProof/>
              </w:rPr>
              <w:t>8. Limitations of Accuracy-Based Deployment</w:t>
            </w:r>
            <w:r>
              <w:rPr>
                <w:noProof/>
              </w:rPr>
              <w:tab/>
            </w:r>
            <w:r>
              <w:rPr>
                <w:noProof/>
              </w:rPr>
              <w:fldChar w:fldCharType="begin"/>
            </w:r>
            <w:r>
              <w:rPr>
                <w:noProof/>
              </w:rPr>
              <w:instrText xml:space="preserve"> PAGEREF _Toc237730567 \h </w:instrText>
            </w:r>
            <w:r>
              <w:rPr>
                <w:noProof/>
              </w:rPr>
            </w:r>
            <w:r>
              <w:rPr>
                <w:noProof/>
              </w:rPr>
              <w:fldChar w:fldCharType="separate"/>
            </w:r>
            <w:r>
              <w:rPr>
                <w:noProof/>
              </w:rPr>
              <w:t>1</w:t>
            </w:r>
            <w:r>
              <w:rPr>
                <w:noProof/>
              </w:rPr>
              <w:fldChar w:fldCharType="end"/>
            </w:r>
          </w:hyperlink>
        </w:p>
        <w:p w14:paraId="41AED5A0" w14:textId="77777777" w:rsidR="00524F7B" w:rsidRDefault="00524F7B">
          <w:pPr>
            <w:pStyle w:val="TOC1"/>
            <w:tabs>
              <w:tab w:val="right" w:leader="dot" w:pos="9016"/>
            </w:tabs>
            <w:rPr>
              <w:noProof/>
            </w:rPr>
          </w:pPr>
          <w:hyperlink w:anchor="_Toc237730568" w:history="1">
            <w:r w:rsidRPr="00931EAF">
              <w:rPr>
                <w:rStyle w:val="Hyperlink"/>
                <w:noProof/>
              </w:rPr>
              <w:t>9. The Specific Gap Addressed by Certus</w:t>
            </w:r>
            <w:r>
              <w:rPr>
                <w:noProof/>
              </w:rPr>
              <w:tab/>
            </w:r>
            <w:r>
              <w:rPr>
                <w:noProof/>
              </w:rPr>
              <w:fldChar w:fldCharType="begin"/>
            </w:r>
            <w:r>
              <w:rPr>
                <w:noProof/>
              </w:rPr>
              <w:instrText xml:space="preserve"> PAGEREF _Toc237730568 \h </w:instrText>
            </w:r>
            <w:r>
              <w:rPr>
                <w:noProof/>
              </w:rPr>
            </w:r>
            <w:r>
              <w:rPr>
                <w:noProof/>
              </w:rPr>
              <w:fldChar w:fldCharType="separate"/>
            </w:r>
            <w:r>
              <w:rPr>
                <w:noProof/>
              </w:rPr>
              <w:t>1</w:t>
            </w:r>
            <w:r>
              <w:rPr>
                <w:noProof/>
              </w:rPr>
              <w:fldChar w:fldCharType="end"/>
            </w:r>
          </w:hyperlink>
        </w:p>
        <w:p w14:paraId="6B4629A6" w14:textId="77777777" w:rsidR="00524F7B" w:rsidRDefault="00524F7B">
          <w:pPr>
            <w:pStyle w:val="TOC1"/>
            <w:tabs>
              <w:tab w:val="right" w:leader="dot" w:pos="9016"/>
            </w:tabs>
            <w:rPr>
              <w:noProof/>
            </w:rPr>
          </w:pPr>
          <w:hyperlink w:anchor="_Toc237730569" w:history="1">
            <w:r w:rsidRPr="00931EAF">
              <w:rPr>
                <w:rStyle w:val="Hyperlink"/>
                <w:noProof/>
              </w:rPr>
              <w:t>10. Problem Statement and Objectives</w:t>
            </w:r>
            <w:r>
              <w:rPr>
                <w:noProof/>
              </w:rPr>
              <w:tab/>
            </w:r>
            <w:r>
              <w:rPr>
                <w:noProof/>
              </w:rPr>
              <w:fldChar w:fldCharType="begin"/>
            </w:r>
            <w:r>
              <w:rPr>
                <w:noProof/>
              </w:rPr>
              <w:instrText xml:space="preserve"> PAGEREF _Toc237730569 \h </w:instrText>
            </w:r>
            <w:r>
              <w:rPr>
                <w:noProof/>
              </w:rPr>
            </w:r>
            <w:r>
              <w:rPr>
                <w:noProof/>
              </w:rPr>
              <w:fldChar w:fldCharType="separate"/>
            </w:r>
            <w:r>
              <w:rPr>
                <w:noProof/>
              </w:rPr>
              <w:t>1</w:t>
            </w:r>
            <w:r>
              <w:rPr>
                <w:noProof/>
              </w:rPr>
              <w:fldChar w:fldCharType="end"/>
            </w:r>
          </w:hyperlink>
        </w:p>
        <w:p w14:paraId="7DB8B864" w14:textId="77777777" w:rsidR="00524F7B" w:rsidRDefault="00524F7B">
          <w:pPr>
            <w:pStyle w:val="TOC2"/>
            <w:tabs>
              <w:tab w:val="right" w:leader="dot" w:pos="9016"/>
            </w:tabs>
            <w:rPr>
              <w:noProof/>
            </w:rPr>
          </w:pPr>
          <w:hyperlink w:anchor="_Toc237730570" w:history="1">
            <w:r w:rsidRPr="00931EAF">
              <w:rPr>
                <w:rStyle w:val="Hyperlink"/>
                <w:noProof/>
              </w:rPr>
              <w:t>Objectives</w:t>
            </w:r>
            <w:r>
              <w:rPr>
                <w:noProof/>
              </w:rPr>
              <w:tab/>
            </w:r>
            <w:r>
              <w:rPr>
                <w:noProof/>
              </w:rPr>
              <w:fldChar w:fldCharType="begin"/>
            </w:r>
            <w:r>
              <w:rPr>
                <w:noProof/>
              </w:rPr>
              <w:instrText xml:space="preserve"> PAGEREF _Toc237730570 \h </w:instrText>
            </w:r>
            <w:r>
              <w:rPr>
                <w:noProof/>
              </w:rPr>
            </w:r>
            <w:r>
              <w:rPr>
                <w:noProof/>
              </w:rPr>
              <w:fldChar w:fldCharType="separate"/>
            </w:r>
            <w:r>
              <w:rPr>
                <w:noProof/>
              </w:rPr>
              <w:t>1</w:t>
            </w:r>
            <w:r>
              <w:rPr>
                <w:noProof/>
              </w:rPr>
              <w:fldChar w:fldCharType="end"/>
            </w:r>
          </w:hyperlink>
        </w:p>
        <w:p w14:paraId="3286D488" w14:textId="77777777" w:rsidR="00524F7B" w:rsidRDefault="00524F7B">
          <w:pPr>
            <w:pStyle w:val="TOC1"/>
            <w:tabs>
              <w:tab w:val="right" w:leader="dot" w:pos="9016"/>
            </w:tabs>
            <w:rPr>
              <w:noProof/>
            </w:rPr>
          </w:pPr>
          <w:hyperlink w:anchor="_Toc237730571" w:history="1">
            <w:r w:rsidRPr="00931EAF">
              <w:rPr>
                <w:rStyle w:val="Hyperlink"/>
                <w:noProof/>
              </w:rPr>
              <w:t>11. Scope of the Project</w:t>
            </w:r>
            <w:r>
              <w:rPr>
                <w:noProof/>
              </w:rPr>
              <w:tab/>
            </w:r>
            <w:r>
              <w:rPr>
                <w:noProof/>
              </w:rPr>
              <w:fldChar w:fldCharType="begin"/>
            </w:r>
            <w:r>
              <w:rPr>
                <w:noProof/>
              </w:rPr>
              <w:instrText xml:space="preserve"> PAGEREF _Toc237730571 \h </w:instrText>
            </w:r>
            <w:r>
              <w:rPr>
                <w:noProof/>
              </w:rPr>
            </w:r>
            <w:r>
              <w:rPr>
                <w:noProof/>
              </w:rPr>
              <w:fldChar w:fldCharType="separate"/>
            </w:r>
            <w:r>
              <w:rPr>
                <w:noProof/>
              </w:rPr>
              <w:t>1</w:t>
            </w:r>
            <w:r>
              <w:rPr>
                <w:noProof/>
              </w:rPr>
              <w:fldChar w:fldCharType="end"/>
            </w:r>
          </w:hyperlink>
        </w:p>
        <w:p w14:paraId="79943726" w14:textId="77777777" w:rsidR="00524F7B" w:rsidRDefault="00524F7B">
          <w:pPr>
            <w:pStyle w:val="TOC1"/>
            <w:tabs>
              <w:tab w:val="right" w:leader="dot" w:pos="9016"/>
            </w:tabs>
            <w:rPr>
              <w:noProof/>
            </w:rPr>
          </w:pPr>
          <w:hyperlink w:anchor="_Toc237730572" w:history="1">
            <w:r w:rsidRPr="00931EAF">
              <w:rPr>
                <w:rStyle w:val="Hyperlink"/>
                <w:noProof/>
              </w:rPr>
              <w:t>12. Solution Strategy</w:t>
            </w:r>
            <w:r>
              <w:rPr>
                <w:noProof/>
              </w:rPr>
              <w:tab/>
            </w:r>
            <w:r>
              <w:rPr>
                <w:noProof/>
              </w:rPr>
              <w:fldChar w:fldCharType="begin"/>
            </w:r>
            <w:r>
              <w:rPr>
                <w:noProof/>
              </w:rPr>
              <w:instrText xml:space="preserve"> PAGEREF _Toc237730572 \h </w:instrText>
            </w:r>
            <w:r>
              <w:rPr>
                <w:noProof/>
              </w:rPr>
            </w:r>
            <w:r>
              <w:rPr>
                <w:noProof/>
              </w:rPr>
              <w:fldChar w:fldCharType="separate"/>
            </w:r>
            <w:r>
              <w:rPr>
                <w:noProof/>
              </w:rPr>
              <w:t>1</w:t>
            </w:r>
            <w:r>
              <w:rPr>
                <w:noProof/>
              </w:rPr>
              <w:fldChar w:fldCharType="end"/>
            </w:r>
          </w:hyperlink>
        </w:p>
        <w:p w14:paraId="4614B387" w14:textId="77777777" w:rsidR="00524F7B" w:rsidRDefault="00524F7B">
          <w:pPr>
            <w:pStyle w:val="TOC1"/>
            <w:tabs>
              <w:tab w:val="right" w:leader="dot" w:pos="9016"/>
            </w:tabs>
            <w:rPr>
              <w:noProof/>
            </w:rPr>
          </w:pPr>
          <w:hyperlink w:anchor="_Toc237730573" w:history="1">
            <w:r w:rsidRPr="00931EAF">
              <w:rPr>
                <w:rStyle w:val="Hyperlink"/>
                <w:noProof/>
              </w:rPr>
              <w:t>13. System / Method Pipeline</w:t>
            </w:r>
            <w:r>
              <w:rPr>
                <w:noProof/>
              </w:rPr>
              <w:tab/>
            </w:r>
            <w:r>
              <w:rPr>
                <w:noProof/>
              </w:rPr>
              <w:fldChar w:fldCharType="begin"/>
            </w:r>
            <w:r>
              <w:rPr>
                <w:noProof/>
              </w:rPr>
              <w:instrText xml:space="preserve"> PAGEREF _Toc237730573 \h </w:instrText>
            </w:r>
            <w:r>
              <w:rPr>
                <w:noProof/>
              </w:rPr>
            </w:r>
            <w:r>
              <w:rPr>
                <w:noProof/>
              </w:rPr>
              <w:fldChar w:fldCharType="separate"/>
            </w:r>
            <w:r>
              <w:rPr>
                <w:noProof/>
              </w:rPr>
              <w:t>1</w:t>
            </w:r>
            <w:r>
              <w:rPr>
                <w:noProof/>
              </w:rPr>
              <w:fldChar w:fldCharType="end"/>
            </w:r>
          </w:hyperlink>
        </w:p>
        <w:p w14:paraId="23380C4D" w14:textId="77777777" w:rsidR="00524F7B" w:rsidRDefault="00524F7B">
          <w:pPr>
            <w:pStyle w:val="TOC1"/>
            <w:tabs>
              <w:tab w:val="right" w:leader="dot" w:pos="9016"/>
            </w:tabs>
            <w:rPr>
              <w:noProof/>
            </w:rPr>
          </w:pPr>
          <w:hyperlink w:anchor="_Toc237730574" w:history="1">
            <w:r w:rsidRPr="00931EAF">
              <w:rPr>
                <w:rStyle w:val="Hyperlink"/>
                <w:noProof/>
              </w:rPr>
              <w:t>14. Architecture and Major Components</w:t>
            </w:r>
            <w:r>
              <w:rPr>
                <w:noProof/>
              </w:rPr>
              <w:tab/>
            </w:r>
            <w:r>
              <w:rPr>
                <w:noProof/>
              </w:rPr>
              <w:fldChar w:fldCharType="begin"/>
            </w:r>
            <w:r>
              <w:rPr>
                <w:noProof/>
              </w:rPr>
              <w:instrText xml:space="preserve"> PAGEREF _Toc237730574 \h </w:instrText>
            </w:r>
            <w:r>
              <w:rPr>
                <w:noProof/>
              </w:rPr>
            </w:r>
            <w:r>
              <w:rPr>
                <w:noProof/>
              </w:rPr>
              <w:fldChar w:fldCharType="separate"/>
            </w:r>
            <w:r>
              <w:rPr>
                <w:noProof/>
              </w:rPr>
              <w:t>1</w:t>
            </w:r>
            <w:r>
              <w:rPr>
                <w:noProof/>
              </w:rPr>
              <w:fldChar w:fldCharType="end"/>
            </w:r>
          </w:hyperlink>
        </w:p>
        <w:p w14:paraId="383C99AD" w14:textId="77777777" w:rsidR="00524F7B" w:rsidRDefault="00524F7B">
          <w:pPr>
            <w:pStyle w:val="TOC1"/>
            <w:tabs>
              <w:tab w:val="right" w:leader="dot" w:pos="9016"/>
            </w:tabs>
            <w:rPr>
              <w:noProof/>
            </w:rPr>
          </w:pPr>
          <w:hyperlink w:anchor="_Toc237730575" w:history="1">
            <w:r w:rsidRPr="00931EAF">
              <w:rPr>
                <w:rStyle w:val="Hyperlink"/>
                <w:noProof/>
              </w:rPr>
              <w:t>15. Dataset and Resources</w:t>
            </w:r>
            <w:r>
              <w:rPr>
                <w:noProof/>
              </w:rPr>
              <w:tab/>
            </w:r>
            <w:r>
              <w:rPr>
                <w:noProof/>
              </w:rPr>
              <w:fldChar w:fldCharType="begin"/>
            </w:r>
            <w:r>
              <w:rPr>
                <w:noProof/>
              </w:rPr>
              <w:instrText xml:space="preserve"> PAGEREF _Toc237730575 \h </w:instrText>
            </w:r>
            <w:r>
              <w:rPr>
                <w:noProof/>
              </w:rPr>
            </w:r>
            <w:r>
              <w:rPr>
                <w:noProof/>
              </w:rPr>
              <w:fldChar w:fldCharType="separate"/>
            </w:r>
            <w:r>
              <w:rPr>
                <w:noProof/>
              </w:rPr>
              <w:t>1</w:t>
            </w:r>
            <w:r>
              <w:rPr>
                <w:noProof/>
              </w:rPr>
              <w:fldChar w:fldCharType="end"/>
            </w:r>
          </w:hyperlink>
        </w:p>
        <w:p w14:paraId="07E04211" w14:textId="77777777" w:rsidR="00524F7B" w:rsidRDefault="00524F7B">
          <w:pPr>
            <w:pStyle w:val="TOC1"/>
            <w:tabs>
              <w:tab w:val="right" w:leader="dot" w:pos="9016"/>
            </w:tabs>
            <w:rPr>
              <w:noProof/>
            </w:rPr>
          </w:pPr>
          <w:hyperlink w:anchor="_Toc237730576" w:history="1">
            <w:r w:rsidRPr="00931EAF">
              <w:rPr>
                <w:rStyle w:val="Hyperlink"/>
                <w:noProof/>
              </w:rPr>
              <w:t>16. Baselines and Evaluation Metrics</w:t>
            </w:r>
            <w:r>
              <w:rPr>
                <w:noProof/>
              </w:rPr>
              <w:tab/>
            </w:r>
            <w:r>
              <w:rPr>
                <w:noProof/>
              </w:rPr>
              <w:fldChar w:fldCharType="begin"/>
            </w:r>
            <w:r>
              <w:rPr>
                <w:noProof/>
              </w:rPr>
              <w:instrText xml:space="preserve"> PAGEREF _Toc237730576 \h </w:instrText>
            </w:r>
            <w:r>
              <w:rPr>
                <w:noProof/>
              </w:rPr>
            </w:r>
            <w:r>
              <w:rPr>
                <w:noProof/>
              </w:rPr>
              <w:fldChar w:fldCharType="separate"/>
            </w:r>
            <w:r>
              <w:rPr>
                <w:noProof/>
              </w:rPr>
              <w:t>1</w:t>
            </w:r>
            <w:r>
              <w:rPr>
                <w:noProof/>
              </w:rPr>
              <w:fldChar w:fldCharType="end"/>
            </w:r>
          </w:hyperlink>
        </w:p>
        <w:p w14:paraId="41532CD7" w14:textId="77777777" w:rsidR="00524F7B" w:rsidRDefault="00524F7B">
          <w:pPr>
            <w:pStyle w:val="TOC2"/>
            <w:tabs>
              <w:tab w:val="right" w:leader="dot" w:pos="9016"/>
            </w:tabs>
            <w:rPr>
              <w:noProof/>
            </w:rPr>
          </w:pPr>
          <w:hyperlink w:anchor="_Toc237730577" w:history="1">
            <w:r w:rsidRPr="00931EAF">
              <w:rPr>
                <w:rStyle w:val="Hyperlink"/>
                <w:noProof/>
              </w:rPr>
              <w:t>Baselines</w:t>
            </w:r>
            <w:r>
              <w:rPr>
                <w:noProof/>
              </w:rPr>
              <w:tab/>
            </w:r>
            <w:r>
              <w:rPr>
                <w:noProof/>
              </w:rPr>
              <w:fldChar w:fldCharType="begin"/>
            </w:r>
            <w:r>
              <w:rPr>
                <w:noProof/>
              </w:rPr>
              <w:instrText xml:space="preserve"> PAGEREF _Toc237730577 \h </w:instrText>
            </w:r>
            <w:r>
              <w:rPr>
                <w:noProof/>
              </w:rPr>
            </w:r>
            <w:r>
              <w:rPr>
                <w:noProof/>
              </w:rPr>
              <w:fldChar w:fldCharType="separate"/>
            </w:r>
            <w:r>
              <w:rPr>
                <w:noProof/>
              </w:rPr>
              <w:t>1</w:t>
            </w:r>
            <w:r>
              <w:rPr>
                <w:noProof/>
              </w:rPr>
              <w:fldChar w:fldCharType="end"/>
            </w:r>
          </w:hyperlink>
        </w:p>
        <w:p w14:paraId="2EEC0375" w14:textId="77777777" w:rsidR="00524F7B" w:rsidRDefault="00524F7B">
          <w:pPr>
            <w:pStyle w:val="TOC2"/>
            <w:tabs>
              <w:tab w:val="right" w:leader="dot" w:pos="9016"/>
            </w:tabs>
            <w:rPr>
              <w:noProof/>
            </w:rPr>
          </w:pPr>
          <w:hyperlink w:anchor="_Toc237730578" w:history="1">
            <w:r w:rsidRPr="00931EAF">
              <w:rPr>
                <w:rStyle w:val="Hyperlink"/>
                <w:noProof/>
              </w:rPr>
              <w:t>Metrics</w:t>
            </w:r>
            <w:r>
              <w:rPr>
                <w:noProof/>
              </w:rPr>
              <w:tab/>
            </w:r>
            <w:r>
              <w:rPr>
                <w:noProof/>
              </w:rPr>
              <w:fldChar w:fldCharType="begin"/>
            </w:r>
            <w:r>
              <w:rPr>
                <w:noProof/>
              </w:rPr>
              <w:instrText xml:space="preserve"> PAGEREF _Toc237730578 \h </w:instrText>
            </w:r>
            <w:r>
              <w:rPr>
                <w:noProof/>
              </w:rPr>
            </w:r>
            <w:r>
              <w:rPr>
                <w:noProof/>
              </w:rPr>
              <w:fldChar w:fldCharType="separate"/>
            </w:r>
            <w:r>
              <w:rPr>
                <w:noProof/>
              </w:rPr>
              <w:t>1</w:t>
            </w:r>
            <w:r>
              <w:rPr>
                <w:noProof/>
              </w:rPr>
              <w:fldChar w:fldCharType="end"/>
            </w:r>
          </w:hyperlink>
        </w:p>
        <w:p w14:paraId="2F4D60B1" w14:textId="77777777" w:rsidR="00524F7B" w:rsidRDefault="00524F7B">
          <w:pPr>
            <w:pStyle w:val="TOC1"/>
            <w:tabs>
              <w:tab w:val="right" w:leader="dot" w:pos="9016"/>
            </w:tabs>
            <w:rPr>
              <w:noProof/>
            </w:rPr>
          </w:pPr>
          <w:hyperlink w:anchor="_Toc237730579" w:history="1">
            <w:r w:rsidRPr="00931EAF">
              <w:rPr>
                <w:rStyle w:val="Hyperlink"/>
                <w:noProof/>
              </w:rPr>
              <w:t>17. Experimental / Evaluation Protocol</w:t>
            </w:r>
            <w:r>
              <w:rPr>
                <w:noProof/>
              </w:rPr>
              <w:tab/>
            </w:r>
            <w:r>
              <w:rPr>
                <w:noProof/>
              </w:rPr>
              <w:fldChar w:fldCharType="begin"/>
            </w:r>
            <w:r>
              <w:rPr>
                <w:noProof/>
              </w:rPr>
              <w:instrText xml:space="preserve"> PAGEREF _Toc237730579 \h </w:instrText>
            </w:r>
            <w:r>
              <w:rPr>
                <w:noProof/>
              </w:rPr>
            </w:r>
            <w:r>
              <w:rPr>
                <w:noProof/>
              </w:rPr>
              <w:fldChar w:fldCharType="separate"/>
            </w:r>
            <w:r>
              <w:rPr>
                <w:noProof/>
              </w:rPr>
              <w:t>1</w:t>
            </w:r>
            <w:r>
              <w:rPr>
                <w:noProof/>
              </w:rPr>
              <w:fldChar w:fldCharType="end"/>
            </w:r>
          </w:hyperlink>
        </w:p>
        <w:p w14:paraId="46834130" w14:textId="77777777" w:rsidR="00524F7B" w:rsidRDefault="00524F7B">
          <w:pPr>
            <w:pStyle w:val="TOC1"/>
            <w:tabs>
              <w:tab w:val="right" w:leader="dot" w:pos="9016"/>
            </w:tabs>
            <w:rPr>
              <w:noProof/>
            </w:rPr>
          </w:pPr>
          <w:hyperlink w:anchor="_Toc237730580" w:history="1">
            <w:r w:rsidRPr="00931EAF">
              <w:rPr>
                <w:rStyle w:val="Hyperlink"/>
                <w:noProof/>
              </w:rPr>
              <w:t>18. Implementation and Technology Stack</w:t>
            </w:r>
            <w:r>
              <w:rPr>
                <w:noProof/>
              </w:rPr>
              <w:tab/>
            </w:r>
            <w:r>
              <w:rPr>
                <w:noProof/>
              </w:rPr>
              <w:fldChar w:fldCharType="begin"/>
            </w:r>
            <w:r>
              <w:rPr>
                <w:noProof/>
              </w:rPr>
              <w:instrText xml:space="preserve"> PAGEREF _Toc237730580 \h </w:instrText>
            </w:r>
            <w:r>
              <w:rPr>
                <w:noProof/>
              </w:rPr>
            </w:r>
            <w:r>
              <w:rPr>
                <w:noProof/>
              </w:rPr>
              <w:fldChar w:fldCharType="separate"/>
            </w:r>
            <w:r>
              <w:rPr>
                <w:noProof/>
              </w:rPr>
              <w:t>1</w:t>
            </w:r>
            <w:r>
              <w:rPr>
                <w:noProof/>
              </w:rPr>
              <w:fldChar w:fldCharType="end"/>
            </w:r>
          </w:hyperlink>
        </w:p>
        <w:p w14:paraId="3468B4F1" w14:textId="77777777" w:rsidR="00524F7B" w:rsidRDefault="00524F7B">
          <w:pPr>
            <w:pStyle w:val="TOC1"/>
            <w:tabs>
              <w:tab w:val="right" w:leader="dot" w:pos="9016"/>
            </w:tabs>
            <w:rPr>
              <w:noProof/>
            </w:rPr>
          </w:pPr>
          <w:hyperlink w:anchor="_Toc237730581" w:history="1">
            <w:r w:rsidRPr="00931EAF">
              <w:rPr>
                <w:rStyle w:val="Hyperlink"/>
                <w:noProof/>
              </w:rPr>
              <w:t>19. 18-Week Work Plan (Summary)</w:t>
            </w:r>
            <w:r>
              <w:rPr>
                <w:noProof/>
              </w:rPr>
              <w:tab/>
            </w:r>
            <w:r>
              <w:rPr>
                <w:noProof/>
              </w:rPr>
              <w:fldChar w:fldCharType="begin"/>
            </w:r>
            <w:r>
              <w:rPr>
                <w:noProof/>
              </w:rPr>
              <w:instrText xml:space="preserve"> PAGEREF _Toc237730581 \h </w:instrText>
            </w:r>
            <w:r>
              <w:rPr>
                <w:noProof/>
              </w:rPr>
            </w:r>
            <w:r>
              <w:rPr>
                <w:noProof/>
              </w:rPr>
              <w:fldChar w:fldCharType="separate"/>
            </w:r>
            <w:r>
              <w:rPr>
                <w:noProof/>
              </w:rPr>
              <w:t>1</w:t>
            </w:r>
            <w:r>
              <w:rPr>
                <w:noProof/>
              </w:rPr>
              <w:fldChar w:fldCharType="end"/>
            </w:r>
          </w:hyperlink>
        </w:p>
        <w:p w14:paraId="2FF2479C" w14:textId="77777777" w:rsidR="00524F7B" w:rsidRDefault="00524F7B">
          <w:pPr>
            <w:pStyle w:val="TOC1"/>
            <w:tabs>
              <w:tab w:val="right" w:leader="dot" w:pos="9016"/>
            </w:tabs>
            <w:rPr>
              <w:noProof/>
            </w:rPr>
          </w:pPr>
          <w:hyperlink w:anchor="_Toc237730582" w:history="1">
            <w:r w:rsidRPr="00931EAF">
              <w:rPr>
                <w:rStyle w:val="Hyperlink"/>
                <w:noProof/>
              </w:rPr>
              <w:t>20. Risk Assessment and Mitigation</w:t>
            </w:r>
            <w:r>
              <w:rPr>
                <w:noProof/>
              </w:rPr>
              <w:tab/>
            </w:r>
            <w:r>
              <w:rPr>
                <w:noProof/>
              </w:rPr>
              <w:fldChar w:fldCharType="begin"/>
            </w:r>
            <w:r>
              <w:rPr>
                <w:noProof/>
              </w:rPr>
              <w:instrText xml:space="preserve"> PAGEREF _Toc237730582 \h </w:instrText>
            </w:r>
            <w:r>
              <w:rPr>
                <w:noProof/>
              </w:rPr>
            </w:r>
            <w:r>
              <w:rPr>
                <w:noProof/>
              </w:rPr>
              <w:fldChar w:fldCharType="separate"/>
            </w:r>
            <w:r>
              <w:rPr>
                <w:noProof/>
              </w:rPr>
              <w:t>1</w:t>
            </w:r>
            <w:r>
              <w:rPr>
                <w:noProof/>
              </w:rPr>
              <w:fldChar w:fldCharType="end"/>
            </w:r>
          </w:hyperlink>
        </w:p>
        <w:p w14:paraId="7CB1FF23" w14:textId="77777777" w:rsidR="00524F7B" w:rsidRDefault="00524F7B">
          <w:pPr>
            <w:pStyle w:val="TOC1"/>
            <w:tabs>
              <w:tab w:val="right" w:leader="dot" w:pos="9016"/>
            </w:tabs>
            <w:rPr>
              <w:noProof/>
            </w:rPr>
          </w:pPr>
          <w:hyperlink w:anchor="_Toc237730583" w:history="1">
            <w:r w:rsidRPr="00931EAF">
              <w:rPr>
                <w:rStyle w:val="Hyperlink"/>
                <w:noProof/>
              </w:rPr>
              <w:t>21. Expected Outcomes and Deliverables</w:t>
            </w:r>
            <w:r>
              <w:rPr>
                <w:noProof/>
              </w:rPr>
              <w:tab/>
            </w:r>
            <w:r>
              <w:rPr>
                <w:noProof/>
              </w:rPr>
              <w:fldChar w:fldCharType="begin"/>
            </w:r>
            <w:r>
              <w:rPr>
                <w:noProof/>
              </w:rPr>
              <w:instrText xml:space="preserve"> PAGEREF _Toc237730583 \h </w:instrText>
            </w:r>
            <w:r>
              <w:rPr>
                <w:noProof/>
              </w:rPr>
            </w:r>
            <w:r>
              <w:rPr>
                <w:noProof/>
              </w:rPr>
              <w:fldChar w:fldCharType="separate"/>
            </w:r>
            <w:r>
              <w:rPr>
                <w:noProof/>
              </w:rPr>
              <w:t>1</w:t>
            </w:r>
            <w:r>
              <w:rPr>
                <w:noProof/>
              </w:rPr>
              <w:fldChar w:fldCharType="end"/>
            </w:r>
          </w:hyperlink>
        </w:p>
        <w:p w14:paraId="5395EF41" w14:textId="77777777" w:rsidR="00524F7B" w:rsidRDefault="00524F7B">
          <w:pPr>
            <w:pStyle w:val="TOC1"/>
            <w:tabs>
              <w:tab w:val="right" w:leader="dot" w:pos="9016"/>
            </w:tabs>
            <w:rPr>
              <w:noProof/>
            </w:rPr>
          </w:pPr>
          <w:hyperlink w:anchor="_Toc237730584" w:history="1">
            <w:r w:rsidRPr="00931EAF">
              <w:rPr>
                <w:rStyle w:val="Hyperlink"/>
                <w:noProof/>
              </w:rPr>
              <w:t>22. Glossary of Key Terms</w:t>
            </w:r>
            <w:r>
              <w:rPr>
                <w:noProof/>
              </w:rPr>
              <w:tab/>
            </w:r>
            <w:r>
              <w:rPr>
                <w:noProof/>
              </w:rPr>
              <w:fldChar w:fldCharType="begin"/>
            </w:r>
            <w:r>
              <w:rPr>
                <w:noProof/>
              </w:rPr>
              <w:instrText xml:space="preserve"> PAGEREF _Toc237730584 \h </w:instrText>
            </w:r>
            <w:r>
              <w:rPr>
                <w:noProof/>
              </w:rPr>
            </w:r>
            <w:r>
              <w:rPr>
                <w:noProof/>
              </w:rPr>
              <w:fldChar w:fldCharType="separate"/>
            </w:r>
            <w:r>
              <w:rPr>
                <w:noProof/>
              </w:rPr>
              <w:t>1</w:t>
            </w:r>
            <w:r>
              <w:rPr>
                <w:noProof/>
              </w:rPr>
              <w:fldChar w:fldCharType="end"/>
            </w:r>
          </w:hyperlink>
        </w:p>
        <w:p w14:paraId="3A086F19" w14:textId="77777777" w:rsidR="00524F7B" w:rsidRDefault="00524F7B">
          <w:pPr>
            <w:pStyle w:val="TOC1"/>
            <w:tabs>
              <w:tab w:val="right" w:leader="dot" w:pos="9016"/>
            </w:tabs>
            <w:rPr>
              <w:noProof/>
            </w:rPr>
          </w:pPr>
          <w:hyperlink w:anchor="_Toc237730585" w:history="1">
            <w:r w:rsidRPr="00931EAF">
              <w:rPr>
                <w:rStyle w:val="Hyperlink"/>
                <w:noProof/>
              </w:rPr>
              <w:t>23. References</w:t>
            </w:r>
            <w:r>
              <w:rPr>
                <w:noProof/>
              </w:rPr>
              <w:tab/>
            </w:r>
            <w:r>
              <w:rPr>
                <w:noProof/>
              </w:rPr>
              <w:fldChar w:fldCharType="begin"/>
            </w:r>
            <w:r>
              <w:rPr>
                <w:noProof/>
              </w:rPr>
              <w:instrText xml:space="preserve"> PAGEREF _Toc237730585 \h </w:instrText>
            </w:r>
            <w:r>
              <w:rPr>
                <w:noProof/>
              </w:rPr>
            </w:r>
            <w:r>
              <w:rPr>
                <w:noProof/>
              </w:rPr>
              <w:fldChar w:fldCharType="separate"/>
            </w:r>
            <w:r>
              <w:rPr>
                <w:noProof/>
              </w:rPr>
              <w:t>1</w:t>
            </w:r>
            <w:r>
              <w:rPr>
                <w:noProof/>
              </w:rPr>
              <w:fldChar w:fldCharType="end"/>
            </w:r>
          </w:hyperlink>
        </w:p>
        <w:p w14:paraId="709AEDCB" w14:textId="77777777" w:rsidR="00E20411" w:rsidRDefault="00000000">
          <w:r>
            <w:fldChar w:fldCharType="end"/>
          </w:r>
        </w:p>
      </w:sdtContent>
    </w:sdt>
    <w:p w14:paraId="02A16B2D" w14:textId="77777777" w:rsidR="00E20411" w:rsidRDefault="00000000">
      <w:r>
        <w:br w:type="page"/>
      </w:r>
    </w:p>
    <w:p w14:paraId="05995C84" w14:textId="77777777" w:rsidR="00E20411" w:rsidRDefault="00E20411">
      <w:pPr>
        <w:sectPr w:rsidR="00E20411">
          <w:pgSz w:w="11906" w:h="16838"/>
          <w:pgMar w:top="1440" w:right="1440" w:bottom="1440" w:left="1440" w:header="708" w:footer="708" w:gutter="0"/>
          <w:cols w:space="720"/>
          <w:docGrid w:linePitch="360"/>
        </w:sectPr>
      </w:pPr>
    </w:p>
    <w:p w14:paraId="677EEC26" w14:textId="77777777" w:rsidR="00E20411" w:rsidRDefault="00000000">
      <w:pPr>
        <w:pStyle w:val="Heading1"/>
        <w:spacing w:before="400" w:after="200"/>
      </w:pPr>
      <w:bookmarkStart w:id="2" w:name="_Toc237730563"/>
      <w:r>
        <w:lastRenderedPageBreak/>
        <w:t>4. Executive Summary</w:t>
      </w:r>
      <w:bookmarkEnd w:id="2"/>
    </w:p>
    <w:p w14:paraId="0B36677B" w14:textId="77777777" w:rsidR="00E20411" w:rsidRDefault="00000000">
      <w:pPr>
        <w:spacing w:after="160"/>
      </w:pPr>
      <w:r>
        <w:t>Certus is a risk-control layer that sits on top of an already-trained vision-language model built to detect structural defects in photographs of buildings. The model itself does not change. What changes is the output contract: instead of a label and a confidence number that means nothing in particular, Certus returns a triage decision — auto-clear, flag, or escalate — together with a distribution-free statement of the form "the probability that a genuine defect was silently cleared is at most 2%." That guarantee is produced by conformal risk control and holds without assuming anything about the model, the architecture, or the shape of the data.</w:t>
      </w:r>
    </w:p>
    <w:p w14:paraId="412CA3A3" w14:textId="77777777" w:rsidR="00E20411" w:rsidRDefault="00000000">
      <w:pPr>
        <w:spacing w:after="160"/>
      </w:pPr>
      <w:r>
        <w:t xml:space="preserve">The project is a solo, 18-week capstone (10 August – 13 December 2026, 12–14 hours/week) alongside placements and GATE preparation. Its primary output is an </w:t>
      </w:r>
      <w:proofErr w:type="spellStart"/>
      <w:r>
        <w:t>arXiv</w:t>
      </w:r>
      <w:proofErr w:type="spellEnd"/>
      <w:r>
        <w:t xml:space="preserve"> preprint, a reproducible public repository, and a working triage demo — built specifically to support Masters applications to TU Delft, TUM, and ETH Zurich.</w:t>
      </w:r>
    </w:p>
    <w:p w14:paraId="688E88C4" w14:textId="77777777" w:rsidR="00E20411" w:rsidRDefault="00000000">
      <w:pPr>
        <w:spacing w:after="160"/>
      </w:pPr>
      <w:r>
        <w:t xml:space="preserve">Deliverables: a validated conformal calibration engine (split CP, conformal risk control, Learn-then-Test), a systematic comparison of seven nonconformity scores, a leave-one-site-out study of how the guarantee degrades under real distribution shift, a working </w:t>
      </w:r>
      <w:proofErr w:type="spellStart"/>
      <w:r>
        <w:t>FastAPI</w:t>
      </w:r>
      <w:proofErr w:type="spellEnd"/>
      <w:r>
        <w:t xml:space="preserve"> triage service with a minimal console, and a released, citable calibration benchmark.</w:t>
      </w:r>
    </w:p>
    <w:p w14:paraId="3F21BE44" w14:textId="77777777" w:rsidR="00E20411" w:rsidRDefault="00000000">
      <w:pPr>
        <w:pStyle w:val="Heading1"/>
        <w:spacing w:before="400" w:after="200"/>
      </w:pPr>
      <w:bookmarkStart w:id="3" w:name="_Toc237730564"/>
      <w:r>
        <w:t>5. How to Read This Document</w:t>
      </w:r>
      <w:bookmarkEnd w:id="3"/>
    </w:p>
    <w:p w14:paraId="0C8D023C" w14:textId="77777777" w:rsidR="00E20411" w:rsidRDefault="00000000">
      <w:pPr>
        <w:spacing w:after="160"/>
      </w:pPr>
      <w:r>
        <w:t>This document is written to be read once from the top, and then kept open as a working reference for the rest of the project. Sections 6–9 build the plain-language case for why the project exists. Sections 10–13 state the problem formally and fence its scope. Sections 14–18 are the technical specification to build against. Sections 19–23 are planning, risk, and reference material. A companion document, the 18-Week Work Plan, holds week-by-week execution detail and sits beside this one.</w:t>
      </w:r>
    </w:p>
    <w:tbl>
      <w:tblPr>
        <w:tblW w:w="5000" w:type="pct"/>
        <w:tblBorders>
          <w:top w:val="single" w:sz="8" w:space="0" w:color="2E5C8A"/>
          <w:left w:val="single" w:sz="8" w:space="0" w:color="2E5C8A"/>
          <w:bottom w:val="single" w:sz="8" w:space="0" w:color="2E5C8A"/>
          <w:right w:val="single" w:sz="8" w:space="0" w:color="2E5C8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6"/>
      </w:tblGrid>
      <w:tr w:rsidR="00E20411" w14:paraId="0AC63852" w14:textId="77777777">
        <w:tblPrEx>
          <w:tblCellMar>
            <w:top w:w="0" w:type="dxa"/>
            <w:bottom w:w="0" w:type="dxa"/>
          </w:tblCellMar>
        </w:tblPrEx>
        <w:tc>
          <w:tcPr>
            <w:tcW w:w="0" w:type="auto"/>
            <w:shd w:val="clear" w:color="auto" w:fill="EAF0F7"/>
            <w:tcMar>
              <w:top w:w="160" w:type="dxa"/>
              <w:left w:w="200" w:type="dxa"/>
              <w:bottom w:w="160" w:type="dxa"/>
              <w:right w:w="200" w:type="dxa"/>
            </w:tcMar>
          </w:tcPr>
          <w:p w14:paraId="189B6EDF" w14:textId="77777777" w:rsidR="00E20411" w:rsidRDefault="00000000">
            <w:pPr>
              <w:spacing w:after="90"/>
            </w:pPr>
            <w:r>
              <w:rPr>
                <w:b/>
                <w:bCs/>
                <w:caps/>
                <w:color w:val="1F2D50"/>
                <w:spacing w:val="10"/>
                <w:sz w:val="19"/>
                <w:szCs w:val="19"/>
              </w:rPr>
              <w:t>STRUCTURE OF THIS DOCUMENT</w:t>
            </w:r>
          </w:p>
          <w:p w14:paraId="1DF927E5" w14:textId="77777777" w:rsidR="00E20411" w:rsidRDefault="00000000">
            <w:pPr>
              <w:spacing w:after="80" w:line="264" w:lineRule="auto"/>
            </w:pPr>
            <w:r>
              <w:rPr>
                <w:sz w:val="20"/>
                <w:szCs w:val="20"/>
              </w:rPr>
              <w:t>Part A — Sections 6–9: the deployment gap, in plain terms, building to the specific research slot Certus occupies.</w:t>
            </w:r>
          </w:p>
          <w:p w14:paraId="7A7C4F95" w14:textId="77777777" w:rsidR="00E20411" w:rsidRDefault="00000000">
            <w:pPr>
              <w:spacing w:after="80" w:line="264" w:lineRule="auto"/>
            </w:pPr>
            <w:r>
              <w:rPr>
                <w:sz w:val="20"/>
                <w:szCs w:val="20"/>
              </w:rPr>
              <w:t>Part B — Sections 10–13: problem statement, scope fence, and solution strategy.</w:t>
            </w:r>
          </w:p>
          <w:p w14:paraId="0E060DB4" w14:textId="77777777" w:rsidR="00E20411" w:rsidRDefault="00000000">
            <w:pPr>
              <w:spacing w:after="80" w:line="264" w:lineRule="auto"/>
            </w:pPr>
            <w:r>
              <w:rPr>
                <w:sz w:val="20"/>
                <w:szCs w:val="20"/>
              </w:rPr>
              <w:t>Part C — Sections 14–18: architecture, data plan, evaluation protocol, and technology stack — the reference to keep open while coding.</w:t>
            </w:r>
          </w:p>
          <w:p w14:paraId="19486E90" w14:textId="77777777" w:rsidR="00E20411" w:rsidRDefault="00000000">
            <w:pPr>
              <w:spacing w:after="80" w:line="264" w:lineRule="auto"/>
            </w:pPr>
            <w:r>
              <w:rPr>
                <w:sz w:val="20"/>
                <w:szCs w:val="20"/>
              </w:rPr>
              <w:t>Part D — Sections 19–23: work-plan summary, risk register, deliverables, glossary, references.</w:t>
            </w:r>
          </w:p>
        </w:tc>
      </w:tr>
    </w:tbl>
    <w:p w14:paraId="716B697E" w14:textId="77777777" w:rsidR="00E20411" w:rsidRDefault="00000000">
      <w:pPr>
        <w:pStyle w:val="Heading1"/>
        <w:spacing w:before="400" w:after="200"/>
      </w:pPr>
      <w:bookmarkStart w:id="4" w:name="_Toc237730565"/>
      <w:r>
        <w:t>6. The Problem, in Plain Terms</w:t>
      </w:r>
      <w:bookmarkEnd w:id="4"/>
    </w:p>
    <w:p w14:paraId="40BB0075" w14:textId="77777777" w:rsidR="00E20411" w:rsidRDefault="00000000">
      <w:pPr>
        <w:spacing w:after="160"/>
      </w:pPr>
      <w:r>
        <w:t xml:space="preserve">A structural-defect detector reporting 91% accuracy cannot actually be deployed — and the reason is not that 91% is too low, it is that 91% answers a question nobody asked. A site engineer signing off on an inspection is personally liable. An insurer pricing a policy needs a loss distribution. A municipal authority approving occupancy needs a documented error bound. All three need the same object: a bound on the </w:t>
      </w:r>
      <w:r>
        <w:lastRenderedPageBreak/>
        <w:t xml:space="preserve">probability that this particular inspection missed something structurally significant. Aggregate accuracy does not provide that, and neither does a </w:t>
      </w:r>
      <w:proofErr w:type="spellStart"/>
      <w:r>
        <w:t>softmax</w:t>
      </w:r>
      <w:proofErr w:type="spellEnd"/>
      <w:r>
        <w:t xml:space="preserve"> probability.</w:t>
      </w:r>
    </w:p>
    <w:p w14:paraId="610D61BE" w14:textId="77777777" w:rsidR="00E20411" w:rsidRDefault="00000000">
      <w:pPr>
        <w:spacing w:after="160"/>
      </w:pPr>
      <w:r>
        <w:t>The consequence is economically absurd and completely standard: organisations deploy the model, then have a human re-check every image anyway, because nobody can justify trusting any subset of the model’s outputs without a guarantee. Automation saves nothing. This is the deployment gap, and it is a statistics problem wearing an engineering costume.</w:t>
      </w:r>
    </w:p>
    <w:p w14:paraId="596B9CAD" w14:textId="77777777" w:rsidR="00E20411" w:rsidRDefault="00000000">
      <w:pPr>
        <w:pStyle w:val="Heading1"/>
        <w:spacing w:before="400" w:after="200"/>
      </w:pPr>
      <w:bookmarkStart w:id="5" w:name="_Toc237730566"/>
      <w:r>
        <w:t>7. How Automated Visual Inspection Works Today</w:t>
      </w:r>
      <w:bookmarkEnd w:id="5"/>
    </w:p>
    <w:p w14:paraId="10666CD8" w14:textId="77777777" w:rsidR="00E20411" w:rsidRDefault="00000000">
      <w:pPr>
        <w:spacing w:after="160"/>
      </w:pPr>
      <w:r>
        <w:t xml:space="preserve">Strong defect detectors already exist for common classes of structural damage — cracks, spalling, efflorescence — and the perception problem is largely solved for these categories. What the literature reports, however, is </w:t>
      </w:r>
      <w:proofErr w:type="spellStart"/>
      <w:r>
        <w:t>mAP</w:t>
      </w:r>
      <w:proofErr w:type="spellEnd"/>
      <w:r>
        <w:t xml:space="preserve"> and F1 on a held-out test set: aggregate measures of how the model performed on average, not a bound on what happens for any specific deployed inspection. Vendors have no commercial incentive to change this. "96% accurate" sells; "guarantees at most 3% missed defects, at the cost of routing 38% of images to humans" is honest and much harder to sell.</w:t>
      </w:r>
    </w:p>
    <w:p w14:paraId="446A65B2" w14:textId="77777777" w:rsidR="00E20411" w:rsidRDefault="00000000">
      <w:pPr>
        <w:spacing w:after="160"/>
      </w:pPr>
      <w:r>
        <w:t>The uncertainty-quantification literature that could fix this evaluates almost exclusively on CIFAR and ImageNet-style benchmarks under a clean exchangeability assumption. The industrial-inspection literature and the conformal-prediction literature simply do not read each other’s venues.</w:t>
      </w:r>
    </w:p>
    <w:p w14:paraId="40CC4597" w14:textId="77777777" w:rsidR="00E20411" w:rsidRDefault="00000000">
      <w:pPr>
        <w:pStyle w:val="Heading1"/>
        <w:spacing w:before="400" w:after="200"/>
      </w:pPr>
      <w:bookmarkStart w:id="6" w:name="_Toc237730567"/>
      <w:r>
        <w:t>8. Limitations of Accuracy-Based Deployment</w:t>
      </w:r>
      <w:bookmarkEnd w:id="6"/>
    </w:p>
    <w:p w14:paraId="77968938" w14:textId="77777777" w:rsidR="00E20411" w:rsidRDefault="00000000">
      <w:pPr>
        <w:spacing w:after="160"/>
      </w:pPr>
      <w:r>
        <w:t>Two failure modes recur whenever a detector is deployed on the strength of its accuracy alone, and they compound each other if not addressed explicitly.</w:t>
      </w:r>
    </w:p>
    <w:p w14:paraId="651B219A" w14:textId="77777777" w:rsidR="00E20411" w:rsidRDefault="00000000">
      <w:pPr>
        <w:pStyle w:val="Heading3"/>
      </w:pPr>
      <w:r>
        <w:t>8.1 Unbounded Miss Risk from Aggregate Accuracy</w:t>
      </w:r>
    </w:p>
    <w:tbl>
      <w:tblPr>
        <w:tblW w:w="5000" w:type="pct"/>
        <w:tblBorders>
          <w:top w:val="single" w:sz="8" w:space="0" w:color="6B7280"/>
          <w:left w:val="single" w:sz="8" w:space="0" w:color="6B7280"/>
          <w:bottom w:val="single" w:sz="8" w:space="0" w:color="6B7280"/>
          <w:right w:val="single" w:sz="8" w:space="0" w:color="6B728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6"/>
      </w:tblGrid>
      <w:tr w:rsidR="00E20411" w14:paraId="673B9FBB" w14:textId="77777777">
        <w:tblPrEx>
          <w:tblCellMar>
            <w:top w:w="0" w:type="dxa"/>
            <w:bottom w:w="0" w:type="dxa"/>
          </w:tblCellMar>
        </w:tblPrEx>
        <w:tc>
          <w:tcPr>
            <w:tcW w:w="0" w:type="auto"/>
            <w:shd w:val="clear" w:color="auto" w:fill="F5F7FA"/>
            <w:tcMar>
              <w:top w:w="160" w:type="dxa"/>
              <w:left w:w="200" w:type="dxa"/>
              <w:bottom w:w="160" w:type="dxa"/>
              <w:right w:w="200" w:type="dxa"/>
            </w:tcMar>
          </w:tcPr>
          <w:p w14:paraId="5CE4FF50" w14:textId="77777777" w:rsidR="00E20411" w:rsidRDefault="00000000">
            <w:pPr>
              <w:spacing w:after="90"/>
            </w:pPr>
            <w:r>
              <w:rPr>
                <w:b/>
                <w:bCs/>
                <w:caps/>
                <w:color w:val="6B7280"/>
                <w:spacing w:val="10"/>
                <w:sz w:val="19"/>
                <w:szCs w:val="19"/>
              </w:rPr>
              <w:t>DEFINITION — UNBOUNDED MISS RISK</w:t>
            </w:r>
          </w:p>
          <w:p w14:paraId="58238F41" w14:textId="77777777" w:rsidR="00E20411" w:rsidRDefault="00000000">
            <w:pPr>
              <w:spacing w:after="80" w:line="264" w:lineRule="auto"/>
            </w:pPr>
            <w:r>
              <w:rPr>
                <w:sz w:val="20"/>
                <w:szCs w:val="20"/>
              </w:rPr>
              <w:t>Aggregate accuracy is a statement about the model’s average behaviour over a test distribution. It is not a statement about any individual deployed decision, and it says nothing about the asymmetric cost of a missed defect versus a spurious flag. A detector can be 91% accurate and still have no defensible answer to "what is the chance this specific image hid a real crack?"</w:t>
            </w:r>
          </w:p>
        </w:tc>
      </w:tr>
    </w:tbl>
    <w:p w14:paraId="756BB115" w14:textId="77777777" w:rsidR="00E20411" w:rsidRDefault="00000000">
      <w:pPr>
        <w:spacing w:after="160"/>
      </w:pPr>
      <w:r>
        <w:t>This is dangerous precisely because a high accuracy number reads as reassurance. It is the single fastest way to over-trust a system that has never actually bounded its worst-case behaviour on any individual inspection.</w:t>
      </w:r>
    </w:p>
    <w:p w14:paraId="3F755EE7" w14:textId="77777777" w:rsidR="00E20411" w:rsidRDefault="00000000">
      <w:pPr>
        <w:pStyle w:val="Heading3"/>
      </w:pPr>
      <w:r>
        <w:t xml:space="preserve">8.2 Uncalibrated </w:t>
      </w:r>
      <w:proofErr w:type="spellStart"/>
      <w:r>
        <w:t>Softmax</w:t>
      </w:r>
      <w:proofErr w:type="spellEnd"/>
      <w:r>
        <w:t xml:space="preserve"> Confidence</w:t>
      </w:r>
    </w:p>
    <w:tbl>
      <w:tblPr>
        <w:tblW w:w="5000" w:type="pct"/>
        <w:tblBorders>
          <w:top w:val="single" w:sz="8" w:space="0" w:color="6B7280"/>
          <w:left w:val="single" w:sz="8" w:space="0" w:color="6B7280"/>
          <w:bottom w:val="single" w:sz="8" w:space="0" w:color="6B7280"/>
          <w:right w:val="single" w:sz="8" w:space="0" w:color="6B728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6"/>
      </w:tblGrid>
      <w:tr w:rsidR="00E20411" w14:paraId="77B8F5B6" w14:textId="77777777">
        <w:tblPrEx>
          <w:tblCellMar>
            <w:top w:w="0" w:type="dxa"/>
            <w:bottom w:w="0" w:type="dxa"/>
          </w:tblCellMar>
        </w:tblPrEx>
        <w:tc>
          <w:tcPr>
            <w:tcW w:w="0" w:type="auto"/>
            <w:shd w:val="clear" w:color="auto" w:fill="F5F7FA"/>
            <w:tcMar>
              <w:top w:w="160" w:type="dxa"/>
              <w:left w:w="200" w:type="dxa"/>
              <w:bottom w:w="160" w:type="dxa"/>
              <w:right w:w="200" w:type="dxa"/>
            </w:tcMar>
          </w:tcPr>
          <w:p w14:paraId="14C68988" w14:textId="77777777" w:rsidR="00E20411" w:rsidRDefault="00000000">
            <w:pPr>
              <w:spacing w:after="90"/>
            </w:pPr>
            <w:r>
              <w:rPr>
                <w:b/>
                <w:bCs/>
                <w:caps/>
                <w:color w:val="6B7280"/>
                <w:spacing w:val="10"/>
                <w:sz w:val="19"/>
                <w:szCs w:val="19"/>
              </w:rPr>
              <w:t>DEFINITION — UNCALIBRATED SOFTMAX CONFIDENCE</w:t>
            </w:r>
          </w:p>
          <w:p w14:paraId="1F96D012" w14:textId="77777777" w:rsidR="00E20411" w:rsidRDefault="00000000">
            <w:pPr>
              <w:spacing w:after="80" w:line="264" w:lineRule="auto"/>
            </w:pPr>
            <w:r>
              <w:rPr>
                <w:sz w:val="20"/>
                <w:szCs w:val="20"/>
              </w:rPr>
              <w:t xml:space="preserve">A </w:t>
            </w:r>
            <w:proofErr w:type="spellStart"/>
            <w:r>
              <w:rPr>
                <w:sz w:val="20"/>
                <w:szCs w:val="20"/>
              </w:rPr>
              <w:t>softmax</w:t>
            </w:r>
            <w:proofErr w:type="spellEnd"/>
            <w:r>
              <w:rPr>
                <w:sz w:val="20"/>
                <w:szCs w:val="20"/>
              </w:rPr>
              <w:t xml:space="preserve"> output is the result of an exponential normalisation, not a probability of correctness. Asked directly "how confident are you", a model — or its </w:t>
            </w:r>
            <w:proofErr w:type="spellStart"/>
            <w:r>
              <w:rPr>
                <w:sz w:val="20"/>
                <w:szCs w:val="20"/>
              </w:rPr>
              <w:t>softmax</w:t>
            </w:r>
            <w:proofErr w:type="spellEnd"/>
            <w:r>
              <w:rPr>
                <w:sz w:val="20"/>
                <w:szCs w:val="20"/>
              </w:rPr>
              <w:t xml:space="preserve"> layer — produces a fluent, specific-looking number that correlates poorly with whether the prediction is actually right. Temperature scaling improves this on average and still provides no finite-sample guarantee for any single decision.</w:t>
            </w:r>
          </w:p>
        </w:tc>
      </w:tr>
    </w:tbl>
    <w:p w14:paraId="0DB749A5" w14:textId="77777777" w:rsidR="00E20411" w:rsidRDefault="00000000">
      <w:pPr>
        <w:spacing w:after="160"/>
      </w:pPr>
      <w:r>
        <w:lastRenderedPageBreak/>
        <w:t>This is the deeper problem, because it means the obvious fix — "just threshold on the model’s own confidence" — does not work reliably on its own. A distribution-free, empirically validated guarantee, constructed independently of the model’s self-reported certainty, is required.</w:t>
      </w:r>
    </w:p>
    <w:p w14:paraId="4B91029A" w14:textId="77777777" w:rsidR="00E20411" w:rsidRDefault="00000000">
      <w:pPr>
        <w:pStyle w:val="Heading1"/>
        <w:spacing w:before="400" w:after="200"/>
      </w:pPr>
      <w:bookmarkStart w:id="7" w:name="_Toc237730568"/>
      <w:r>
        <w:t>9. The Specific Gap Addressed by Certus</w:t>
      </w:r>
      <w:bookmarkEnd w:id="7"/>
    </w:p>
    <w:tbl>
      <w:tblPr>
        <w:tblW w:w="5000" w:type="pct"/>
        <w:tblBorders>
          <w:top w:val="single" w:sz="8" w:space="0" w:color="1F2D50"/>
          <w:left w:val="single" w:sz="8" w:space="0" w:color="1F2D50"/>
          <w:bottom w:val="single" w:sz="8" w:space="0" w:color="1F2D50"/>
          <w:right w:val="single" w:sz="8" w:space="0" w:color="1F2D5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6"/>
      </w:tblGrid>
      <w:tr w:rsidR="00E20411" w14:paraId="27FA3B7D" w14:textId="77777777">
        <w:tblPrEx>
          <w:tblCellMar>
            <w:top w:w="0" w:type="dxa"/>
            <w:bottom w:w="0" w:type="dxa"/>
          </w:tblCellMar>
        </w:tblPrEx>
        <w:tc>
          <w:tcPr>
            <w:tcW w:w="0" w:type="auto"/>
            <w:shd w:val="clear" w:color="auto" w:fill="EAF0F7"/>
            <w:tcMar>
              <w:top w:w="160" w:type="dxa"/>
              <w:left w:w="200" w:type="dxa"/>
              <w:bottom w:w="160" w:type="dxa"/>
              <w:right w:w="200" w:type="dxa"/>
            </w:tcMar>
          </w:tcPr>
          <w:p w14:paraId="151DA89D" w14:textId="77777777" w:rsidR="00E20411" w:rsidRDefault="00000000">
            <w:pPr>
              <w:spacing w:after="90"/>
            </w:pPr>
            <w:r>
              <w:rPr>
                <w:b/>
                <w:bCs/>
                <w:caps/>
                <w:color w:val="1F2D50"/>
                <w:spacing w:val="10"/>
                <w:sz w:val="19"/>
                <w:szCs w:val="19"/>
              </w:rPr>
              <w:t>THE GAP, STATED PRECISELY</w:t>
            </w:r>
          </w:p>
          <w:p w14:paraId="2DDA3A45" w14:textId="77777777" w:rsidR="00E20411" w:rsidRDefault="00000000">
            <w:pPr>
              <w:spacing w:after="80" w:line="264" w:lineRule="auto"/>
            </w:pPr>
            <w:r>
              <w:rPr>
                <w:sz w:val="20"/>
                <w:szCs w:val="20"/>
              </w:rPr>
              <w:t>Conformal risk control, with an asymmetric inspection loss, applied to a vision-language defect detector, evaluated under structured leave-one-site-out shift, reported in terms of human-review fraction rather than coverage alone. Each of those five clauses exists separately in the literature. The conjunction does not.</w:t>
            </w:r>
          </w:p>
        </w:tc>
      </w:tr>
      <w:tr w:rsidR="00E20411" w14:paraId="610AC60E" w14:textId="77777777">
        <w:tblPrEx>
          <w:tblBorders>
            <w:top w:val="single" w:sz="8" w:space="0" w:color="6B7280"/>
            <w:left w:val="single" w:sz="8" w:space="0" w:color="6B7280"/>
            <w:bottom w:val="single" w:sz="8" w:space="0" w:color="6B7280"/>
            <w:right w:val="single" w:sz="8" w:space="0" w:color="6B7280"/>
          </w:tblBorders>
          <w:tblCellMar>
            <w:top w:w="0" w:type="dxa"/>
            <w:bottom w:w="0" w:type="dxa"/>
          </w:tblCellMar>
        </w:tblPrEx>
        <w:tc>
          <w:tcPr>
            <w:tcW w:w="0" w:type="auto"/>
            <w:shd w:val="clear" w:color="auto" w:fill="F5F7FA"/>
            <w:tcMar>
              <w:top w:w="160" w:type="dxa"/>
              <w:left w:w="200" w:type="dxa"/>
              <w:bottom w:w="160" w:type="dxa"/>
              <w:right w:w="200" w:type="dxa"/>
            </w:tcMar>
          </w:tcPr>
          <w:p w14:paraId="45C8FCC2" w14:textId="77777777" w:rsidR="00E20411" w:rsidRDefault="00000000">
            <w:pPr>
              <w:spacing w:after="90"/>
            </w:pPr>
            <w:r>
              <w:rPr>
                <w:b/>
                <w:bCs/>
                <w:caps/>
                <w:color w:val="6B7280"/>
                <w:spacing w:val="10"/>
                <w:sz w:val="19"/>
                <w:szCs w:val="19"/>
              </w:rPr>
              <w:t>HONEST SCOPING POINT</w:t>
            </w:r>
          </w:p>
          <w:p w14:paraId="4A9569DB" w14:textId="77777777" w:rsidR="00E20411" w:rsidRDefault="00000000">
            <w:pPr>
              <w:spacing w:after="80" w:line="264" w:lineRule="auto"/>
            </w:pPr>
            <w:r>
              <w:rPr>
                <w:i/>
                <w:iCs/>
                <w:sz w:val="20"/>
                <w:szCs w:val="20"/>
              </w:rPr>
              <w:t>Certus is an applied contribution, not a theoretical one. The conformal machinery (split CP, conformal risk control, Learn-then-Test) is mature and taken as given; no new coverage theorem is being proved. The empirical and engineering content — the score comparison, the efficiency curve, and the measured failure of exchangeability under real site-level shift — is the project’s real content, and it should be described in exactly those terms in any paper, SOP, or interview.</w:t>
            </w:r>
          </w:p>
        </w:tc>
      </w:tr>
    </w:tbl>
    <w:p w14:paraId="755CFC92" w14:textId="77777777" w:rsidR="00E20411" w:rsidRDefault="00000000">
      <w:pPr>
        <w:pStyle w:val="Heading1"/>
        <w:spacing w:before="400" w:after="200"/>
      </w:pPr>
      <w:bookmarkStart w:id="8" w:name="_Toc237730569"/>
      <w:r>
        <w:t>10. Problem Statement and Objectives</w:t>
      </w:r>
      <w:bookmarkEnd w:id="8"/>
    </w:p>
    <w:tbl>
      <w:tblPr>
        <w:tblW w:w="5000" w:type="pct"/>
        <w:tblBorders>
          <w:top w:val="single" w:sz="8" w:space="0" w:color="1F2D50"/>
          <w:left w:val="single" w:sz="8" w:space="0" w:color="1F2D50"/>
          <w:bottom w:val="single" w:sz="8" w:space="0" w:color="1F2D50"/>
          <w:right w:val="single" w:sz="8" w:space="0" w:color="1F2D5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6"/>
      </w:tblGrid>
      <w:tr w:rsidR="00E20411" w14:paraId="711042EB" w14:textId="77777777">
        <w:tblPrEx>
          <w:tblCellMar>
            <w:top w:w="0" w:type="dxa"/>
            <w:bottom w:w="0" w:type="dxa"/>
          </w:tblCellMar>
        </w:tblPrEx>
        <w:tc>
          <w:tcPr>
            <w:tcW w:w="0" w:type="auto"/>
            <w:shd w:val="clear" w:color="auto" w:fill="EAF0F7"/>
            <w:tcMar>
              <w:top w:w="160" w:type="dxa"/>
              <w:left w:w="200" w:type="dxa"/>
              <w:bottom w:w="160" w:type="dxa"/>
              <w:right w:w="200" w:type="dxa"/>
            </w:tcMar>
          </w:tcPr>
          <w:p w14:paraId="0B52660D" w14:textId="77777777" w:rsidR="00E20411" w:rsidRDefault="00000000">
            <w:pPr>
              <w:spacing w:after="90"/>
            </w:pPr>
            <w:r>
              <w:rPr>
                <w:b/>
                <w:bCs/>
                <w:caps/>
                <w:color w:val="1F2D50"/>
                <w:spacing w:val="10"/>
                <w:sz w:val="19"/>
                <w:szCs w:val="19"/>
              </w:rPr>
              <w:t>PROBLEM STATEMENT</w:t>
            </w:r>
          </w:p>
          <w:p w14:paraId="7321C1AF" w14:textId="77777777" w:rsidR="00E20411" w:rsidRDefault="00000000">
            <w:pPr>
              <w:spacing w:after="80" w:line="264" w:lineRule="auto"/>
            </w:pPr>
            <w:r>
              <w:rPr>
                <w:sz w:val="20"/>
                <w:szCs w:val="20"/>
              </w:rPr>
              <w:t>Given a fine-tuned vision-language defect detector and a fixed missed-defect risk budget ε, construct a triage policy — auto-clear, flag, or escalate — that carries a distribution-free guarantee on the missed-defect rate, characterise the human-review cost of that guarantee across a range of ε, and measure how much of the guarantee survives realistic site-level distribution shift.</w:t>
            </w:r>
          </w:p>
        </w:tc>
      </w:tr>
    </w:tbl>
    <w:p w14:paraId="17E42464" w14:textId="77777777" w:rsidR="00E20411" w:rsidRDefault="00000000">
      <w:pPr>
        <w:pStyle w:val="Heading2"/>
        <w:spacing w:before="300" w:after="150"/>
      </w:pPr>
      <w:bookmarkStart w:id="9" w:name="_Toc237730570"/>
      <w:r>
        <w:t>Objectives</w:t>
      </w:r>
      <w:bookmarkEnd w:id="9"/>
    </w:p>
    <w:p w14:paraId="2654BCEA" w14:textId="77777777" w:rsidR="00E20411" w:rsidRDefault="00000000">
      <w:pPr>
        <w:pStyle w:val="ListParagraph"/>
        <w:numPr>
          <w:ilvl w:val="0"/>
          <w:numId w:val="2"/>
        </w:numPr>
        <w:spacing w:after="100" w:line="270" w:lineRule="auto"/>
      </w:pPr>
      <w:r>
        <w:t>O1 — Implement the corrected split-conformal quantile and validate empirical coverage against nominal coverage on exchangeable synthetic and real data (±2 points, 100 seeds).</w:t>
      </w:r>
    </w:p>
    <w:p w14:paraId="1BE01369" w14:textId="77777777" w:rsidR="00E20411" w:rsidRDefault="00000000">
      <w:pPr>
        <w:pStyle w:val="ListParagraph"/>
        <w:numPr>
          <w:ilvl w:val="0"/>
          <w:numId w:val="2"/>
        </w:numPr>
        <w:spacing w:after="100" w:line="270" w:lineRule="auto"/>
      </w:pPr>
      <w:r>
        <w:t>O2 — Implement and compare at least five nonconformity scores on identical splits, establishing which family yields the tightest risk-controlled triage.</w:t>
      </w:r>
    </w:p>
    <w:p w14:paraId="7E5551AC" w14:textId="77777777" w:rsidR="00E20411" w:rsidRDefault="00000000">
      <w:pPr>
        <w:pStyle w:val="ListParagraph"/>
        <w:numPr>
          <w:ilvl w:val="0"/>
          <w:numId w:val="2"/>
        </w:numPr>
        <w:spacing w:after="100" w:line="270" w:lineRule="auto"/>
      </w:pPr>
      <w:r>
        <w:t>O3 — Implement conformal risk control and Learn-then-Test, and plot the efficiency curve — human-review fraction versus guaranteed miss rate — across at least four risk targets.</w:t>
      </w:r>
    </w:p>
    <w:p w14:paraId="2A2B2BF9" w14:textId="77777777" w:rsidR="00E20411" w:rsidRDefault="00000000">
      <w:pPr>
        <w:pStyle w:val="ListParagraph"/>
        <w:numPr>
          <w:ilvl w:val="0"/>
          <w:numId w:val="2"/>
        </w:numPr>
        <w:spacing w:after="100" w:line="270" w:lineRule="auto"/>
      </w:pPr>
      <w:r>
        <w:t>O4 — Run a leave-one-site-out protocol and demonstrate a measurable coverage gap under realistic distribution shift.</w:t>
      </w:r>
    </w:p>
    <w:p w14:paraId="5542A5EE" w14:textId="77777777" w:rsidR="00E20411" w:rsidRDefault="00000000">
      <w:pPr>
        <w:pStyle w:val="ListParagraph"/>
        <w:numPr>
          <w:ilvl w:val="0"/>
          <w:numId w:val="2"/>
        </w:numPr>
        <w:spacing w:after="100" w:line="270" w:lineRule="auto"/>
      </w:pPr>
      <w:r>
        <w:t>O5 — Implement and evaluate at least three shift-correction methods (Mondrian, weighted, localized CP), reporting both recovered coverage and the efficiency cost of recovery.</w:t>
      </w:r>
    </w:p>
    <w:p w14:paraId="78E47752" w14:textId="77777777" w:rsidR="00E20411" w:rsidRDefault="00000000">
      <w:pPr>
        <w:pStyle w:val="ListParagraph"/>
        <w:numPr>
          <w:ilvl w:val="0"/>
          <w:numId w:val="2"/>
        </w:numPr>
        <w:spacing w:after="100" w:line="270" w:lineRule="auto"/>
      </w:pPr>
      <w:r>
        <w:lastRenderedPageBreak/>
        <w:t>O6 — Address the label-noise problem explicitly: hand-label a gold subset, calibrate exclusively on it, and quantify how much the guarantee degrades when calibrated on machine-bootstrapped labels instead.</w:t>
      </w:r>
    </w:p>
    <w:p w14:paraId="6FC27926" w14:textId="77777777" w:rsidR="00E20411" w:rsidRDefault="00000000">
      <w:pPr>
        <w:pStyle w:val="ListParagraph"/>
        <w:numPr>
          <w:ilvl w:val="0"/>
          <w:numId w:val="2"/>
        </w:numPr>
        <w:spacing w:after="100" w:line="270" w:lineRule="auto"/>
      </w:pPr>
      <w:r>
        <w:t xml:space="preserve">O7 — Build a working </w:t>
      </w:r>
      <w:proofErr w:type="spellStart"/>
      <w:r>
        <w:t>FastAPI</w:t>
      </w:r>
      <w:proofErr w:type="spellEnd"/>
      <w:r>
        <w:t xml:space="preserve"> triage service and a minimal console returning a risk statement per image in under 400 </w:t>
      </w:r>
      <w:proofErr w:type="spellStart"/>
      <w:r>
        <w:t>ms</w:t>
      </w:r>
      <w:proofErr w:type="spellEnd"/>
      <w:r>
        <w:t xml:space="preserve"> at p95.</w:t>
      </w:r>
    </w:p>
    <w:p w14:paraId="12AEAA75" w14:textId="77777777" w:rsidR="00E20411" w:rsidRDefault="00000000">
      <w:pPr>
        <w:pStyle w:val="ListParagraph"/>
        <w:numPr>
          <w:ilvl w:val="0"/>
          <w:numId w:val="2"/>
        </w:numPr>
        <w:spacing w:after="100" w:line="270" w:lineRule="auto"/>
      </w:pPr>
      <w:r>
        <w:t xml:space="preserve">O8 — Publish an </w:t>
      </w:r>
      <w:proofErr w:type="spellStart"/>
      <w:r>
        <w:t>arXiv</w:t>
      </w:r>
      <w:proofErr w:type="spellEnd"/>
      <w:r>
        <w:t xml:space="preserve"> preprint with a fully reproducible repository (make figures on a clean clone) and release the calibration benchmark with a </w:t>
      </w:r>
      <w:proofErr w:type="spellStart"/>
      <w:r>
        <w:t>Zenodo</w:t>
      </w:r>
      <w:proofErr w:type="spellEnd"/>
      <w:r>
        <w:t xml:space="preserve"> DOI.</w:t>
      </w:r>
    </w:p>
    <w:p w14:paraId="51CE0386" w14:textId="77777777" w:rsidR="00E20411" w:rsidRDefault="00000000">
      <w:pPr>
        <w:pStyle w:val="Heading1"/>
        <w:spacing w:before="400" w:after="200"/>
      </w:pPr>
      <w:bookmarkStart w:id="10" w:name="_Toc237730571"/>
      <w:r>
        <w:t>11. Scope of the Project</w:t>
      </w:r>
      <w:bookmarkEnd w:id="10"/>
    </w:p>
    <w:tbl>
      <w:tblPr>
        <w:tblW w:w="9360" w:type="dxa"/>
        <w:tblCellMar>
          <w:left w:w="10" w:type="dxa"/>
          <w:right w:w="10" w:type="dxa"/>
        </w:tblCellMar>
        <w:tblLook w:val="0000" w:firstRow="0" w:lastRow="0" w:firstColumn="0" w:lastColumn="0" w:noHBand="0" w:noVBand="0"/>
      </w:tblPr>
      <w:tblGrid>
        <w:gridCol w:w="4680"/>
        <w:gridCol w:w="4680"/>
      </w:tblGrid>
      <w:tr w:rsidR="00E20411" w14:paraId="0941C797" w14:textId="77777777">
        <w:tblPrEx>
          <w:tblCellMar>
            <w:top w:w="0" w:type="dxa"/>
            <w:bottom w:w="0" w:type="dxa"/>
          </w:tblCellMar>
        </w:tblPrEx>
        <w:tc>
          <w:tcPr>
            <w:tcW w:w="4680" w:type="dxa"/>
            <w:tcBorders>
              <w:top w:val="single" w:sz="8" w:space="0" w:color="2E5C8A"/>
              <w:left w:val="single" w:sz="8" w:space="0" w:color="2E5C8A"/>
              <w:bottom w:val="single" w:sz="8" w:space="0" w:color="2E5C8A"/>
              <w:right w:val="single" w:sz="8" w:space="0" w:color="2E5C8A"/>
            </w:tcBorders>
            <w:shd w:val="clear" w:color="auto" w:fill="F5F7FA"/>
            <w:tcMar>
              <w:top w:w="160" w:type="dxa"/>
              <w:left w:w="200" w:type="dxa"/>
              <w:bottom w:w="160" w:type="dxa"/>
              <w:right w:w="200" w:type="dxa"/>
            </w:tcMar>
          </w:tcPr>
          <w:p w14:paraId="676A0E49" w14:textId="77777777" w:rsidR="00E20411" w:rsidRDefault="00000000">
            <w:pPr>
              <w:spacing w:after="100"/>
            </w:pPr>
            <w:r>
              <w:rPr>
                <w:b/>
                <w:bCs/>
                <w:color w:val="2E5C8A"/>
                <w:spacing w:val="8"/>
                <w:sz w:val="19"/>
                <w:szCs w:val="19"/>
              </w:rPr>
              <w:t>IN SCOPE</w:t>
            </w:r>
          </w:p>
          <w:p w14:paraId="6AB2E1DB" w14:textId="77777777" w:rsidR="00E20411" w:rsidRDefault="00000000">
            <w:pPr>
              <w:pStyle w:val="ListParagraph"/>
              <w:numPr>
                <w:ilvl w:val="0"/>
                <w:numId w:val="1"/>
              </w:numPr>
              <w:spacing w:after="70" w:line="260" w:lineRule="auto"/>
            </w:pPr>
            <w:r>
              <w:t>Conformal calibration on top of the existing fine-tuned VLM detector (model-agnostic; backbone is not retrained)</w:t>
            </w:r>
          </w:p>
          <w:p w14:paraId="6B8F7881" w14:textId="77777777" w:rsidR="00E20411" w:rsidRDefault="00000000">
            <w:pPr>
              <w:pStyle w:val="ListParagraph"/>
              <w:numPr>
                <w:ilvl w:val="0"/>
                <w:numId w:val="1"/>
              </w:numPr>
              <w:spacing w:after="70" w:line="260" w:lineRule="auto"/>
            </w:pPr>
            <w:r>
              <w:t>Five or more nonconformity scores compared on identical splits</w:t>
            </w:r>
          </w:p>
          <w:p w14:paraId="7A0EE6EB" w14:textId="77777777" w:rsidR="00E20411" w:rsidRDefault="00000000">
            <w:pPr>
              <w:pStyle w:val="ListParagraph"/>
              <w:numPr>
                <w:ilvl w:val="0"/>
                <w:numId w:val="1"/>
              </w:numPr>
              <w:spacing w:after="70" w:line="260" w:lineRule="auto"/>
            </w:pPr>
            <w:r>
              <w:t>Split CP, conformal risk control, and Learn-then-Test</w:t>
            </w:r>
          </w:p>
          <w:p w14:paraId="28BDC187" w14:textId="77777777" w:rsidR="00E20411" w:rsidRDefault="00000000">
            <w:pPr>
              <w:pStyle w:val="ListParagraph"/>
              <w:numPr>
                <w:ilvl w:val="0"/>
                <w:numId w:val="1"/>
              </w:numPr>
              <w:spacing w:after="70" w:line="260" w:lineRule="auto"/>
            </w:pPr>
            <w:r>
              <w:t>Leave-one-site-out shift study with at least three correction methods</w:t>
            </w:r>
          </w:p>
          <w:p w14:paraId="12B63123" w14:textId="77777777" w:rsidR="00E20411" w:rsidRDefault="00000000">
            <w:pPr>
              <w:pStyle w:val="ListParagraph"/>
              <w:numPr>
                <w:ilvl w:val="0"/>
                <w:numId w:val="1"/>
              </w:numPr>
              <w:spacing w:after="70" w:line="260" w:lineRule="auto"/>
            </w:pPr>
            <w:r>
              <w:t>A hand-labelled gold subset for trustworthy calibration and the label-noise degradation study</w:t>
            </w:r>
          </w:p>
          <w:p w14:paraId="7287BE10" w14:textId="77777777" w:rsidR="00E20411" w:rsidRDefault="00000000">
            <w:pPr>
              <w:pStyle w:val="ListParagraph"/>
              <w:numPr>
                <w:ilvl w:val="0"/>
                <w:numId w:val="1"/>
              </w:numPr>
              <w:spacing w:after="70" w:line="260" w:lineRule="auto"/>
            </w:pPr>
            <w:r>
              <w:t xml:space="preserve">A minimal </w:t>
            </w:r>
            <w:proofErr w:type="spellStart"/>
            <w:r>
              <w:t>FastAPI</w:t>
            </w:r>
            <w:proofErr w:type="spellEnd"/>
            <w:r>
              <w:t xml:space="preserve"> service and a one-screen console (</w:t>
            </w:r>
            <w:proofErr w:type="spellStart"/>
            <w:r>
              <w:t>Streamlit</w:t>
            </w:r>
            <w:proofErr w:type="spellEnd"/>
            <w:r>
              <w:t xml:space="preserve"> is an acceptable substitute for React)</w:t>
            </w:r>
          </w:p>
          <w:p w14:paraId="5C936E69" w14:textId="77777777" w:rsidR="00E20411" w:rsidRDefault="00000000">
            <w:pPr>
              <w:pStyle w:val="ListParagraph"/>
              <w:numPr>
                <w:ilvl w:val="0"/>
                <w:numId w:val="1"/>
              </w:numPr>
              <w:spacing w:after="70" w:line="260" w:lineRule="auto"/>
            </w:pPr>
            <w:r>
              <w:t xml:space="preserve">One </w:t>
            </w:r>
            <w:proofErr w:type="spellStart"/>
            <w:r>
              <w:t>arXiv</w:t>
            </w:r>
            <w:proofErr w:type="spellEnd"/>
            <w:r>
              <w:t xml:space="preserve"> preprint and one reproducible public repository</w:t>
            </w:r>
          </w:p>
        </w:tc>
        <w:tc>
          <w:tcPr>
            <w:tcW w:w="4680" w:type="dxa"/>
            <w:tcBorders>
              <w:top w:val="single" w:sz="8" w:space="0" w:color="6B7280"/>
              <w:left w:val="single" w:sz="8" w:space="0" w:color="6B7280"/>
              <w:bottom w:val="single" w:sz="8" w:space="0" w:color="6B7280"/>
              <w:right w:val="single" w:sz="8" w:space="0" w:color="6B7280"/>
            </w:tcBorders>
            <w:shd w:val="clear" w:color="auto" w:fill="F5F7FA"/>
            <w:tcMar>
              <w:top w:w="160" w:type="dxa"/>
              <w:left w:w="200" w:type="dxa"/>
              <w:bottom w:w="160" w:type="dxa"/>
              <w:right w:w="200" w:type="dxa"/>
            </w:tcMar>
          </w:tcPr>
          <w:p w14:paraId="1EFFA310" w14:textId="77777777" w:rsidR="00E20411" w:rsidRDefault="00000000">
            <w:pPr>
              <w:spacing w:after="100"/>
            </w:pPr>
            <w:r>
              <w:rPr>
                <w:b/>
                <w:bCs/>
                <w:color w:val="6B7280"/>
                <w:spacing w:val="8"/>
                <w:sz w:val="19"/>
                <w:szCs w:val="19"/>
              </w:rPr>
              <w:t>OUT OF SCOPE</w:t>
            </w:r>
          </w:p>
          <w:p w14:paraId="501F6C63" w14:textId="77777777" w:rsidR="00E20411" w:rsidRDefault="00000000">
            <w:pPr>
              <w:pStyle w:val="ListParagraph"/>
              <w:numPr>
                <w:ilvl w:val="0"/>
                <w:numId w:val="1"/>
              </w:numPr>
              <w:spacing w:after="70" w:line="260" w:lineRule="auto"/>
            </w:pPr>
            <w:r>
              <w:t>Improving the underlying detector’s accuracy — Certus is model-agnostic by design</w:t>
            </w:r>
          </w:p>
          <w:p w14:paraId="608DE80E" w14:textId="77777777" w:rsidR="00E20411" w:rsidRDefault="00000000">
            <w:pPr>
              <w:pStyle w:val="ListParagraph"/>
              <w:numPr>
                <w:ilvl w:val="0"/>
                <w:numId w:val="1"/>
              </w:numPr>
              <w:spacing w:after="70" w:line="260" w:lineRule="auto"/>
            </w:pPr>
            <w:r>
              <w:t>New conformal theory — applying existing theory rigorously is the contribution</w:t>
            </w:r>
          </w:p>
          <w:p w14:paraId="3F0C55F9" w14:textId="77777777" w:rsidR="00E20411" w:rsidRDefault="00000000">
            <w:pPr>
              <w:pStyle w:val="ListParagraph"/>
              <w:numPr>
                <w:ilvl w:val="0"/>
                <w:numId w:val="1"/>
              </w:numPr>
              <w:spacing w:after="70" w:line="260" w:lineRule="auto"/>
            </w:pPr>
            <w:r>
              <w:t>Defect localisation or segmentation-level risk bounds</w:t>
            </w:r>
          </w:p>
          <w:p w14:paraId="574B1915" w14:textId="77777777" w:rsidR="00E20411" w:rsidRDefault="00000000">
            <w:pPr>
              <w:pStyle w:val="ListParagraph"/>
              <w:numPr>
                <w:ilvl w:val="0"/>
                <w:numId w:val="1"/>
              </w:numPr>
              <w:spacing w:after="70" w:line="260" w:lineRule="auto"/>
            </w:pPr>
            <w:r>
              <w:t>Multi-modal fusion (thermal, LiDAR, acoustic)</w:t>
            </w:r>
          </w:p>
          <w:p w14:paraId="770E1C7B" w14:textId="77777777" w:rsidR="00E20411" w:rsidRDefault="00000000">
            <w:pPr>
              <w:pStyle w:val="ListParagraph"/>
              <w:numPr>
                <w:ilvl w:val="0"/>
                <w:numId w:val="1"/>
              </w:numPr>
              <w:spacing w:after="70" w:line="260" w:lineRule="auto"/>
            </w:pPr>
            <w:r>
              <w:t>Federated or privacy-preserving calibration</w:t>
            </w:r>
          </w:p>
          <w:p w14:paraId="7367A36D" w14:textId="77777777" w:rsidR="00E20411" w:rsidRDefault="00000000">
            <w:pPr>
              <w:pStyle w:val="ListParagraph"/>
              <w:numPr>
                <w:ilvl w:val="0"/>
                <w:numId w:val="1"/>
              </w:numPr>
              <w:spacing w:after="70" w:line="260" w:lineRule="auto"/>
            </w:pPr>
            <w:r>
              <w:t>A production-grade product — authentication, tenancy, billing</w:t>
            </w:r>
          </w:p>
          <w:p w14:paraId="69F57977" w14:textId="77777777" w:rsidR="00E20411" w:rsidRDefault="00000000">
            <w:pPr>
              <w:pStyle w:val="ListParagraph"/>
              <w:numPr>
                <w:ilvl w:val="0"/>
                <w:numId w:val="1"/>
              </w:numPr>
              <w:spacing w:after="70" w:line="260" w:lineRule="auto"/>
            </w:pPr>
            <w:r>
              <w:t>Real-time video inspection</w:t>
            </w:r>
          </w:p>
        </w:tc>
      </w:tr>
    </w:tbl>
    <w:p w14:paraId="3B929AE9" w14:textId="77777777" w:rsidR="00E20411" w:rsidRDefault="00000000">
      <w:r>
        <w:br w:type="page"/>
      </w:r>
    </w:p>
    <w:p w14:paraId="024DB92F" w14:textId="77777777" w:rsidR="00E20411" w:rsidRDefault="00000000">
      <w:pPr>
        <w:pStyle w:val="Heading1"/>
        <w:spacing w:before="400" w:after="200"/>
      </w:pPr>
      <w:bookmarkStart w:id="11" w:name="_Toc237730572"/>
      <w:r>
        <w:lastRenderedPageBreak/>
        <w:t>12. Solution Strategy</w:t>
      </w:r>
      <w:bookmarkEnd w:id="11"/>
    </w:p>
    <w:p w14:paraId="7AC6000F" w14:textId="77777777" w:rsidR="00E20411" w:rsidRDefault="00000000">
      <w:pPr>
        <w:spacing w:after="160"/>
      </w:pPr>
      <w:r>
        <w:t>Certus is built as a two-part system that is each independently testable: an offline calibration engine that turns a labelled calibration pool into a per-site-cluster threshold, and an online triage path that scores a single image in sub-millisecond time and compares it to that threshold. Building and validating these independently — proving coverage on exchangeable data before ever touching shift — means that when the shift experiment underperforms, the fault is localisable to a real phenomenon rather than diffused across an unvalidated pipeline.</w:t>
      </w:r>
    </w:p>
    <w:p w14:paraId="18FD444D" w14:textId="77777777" w:rsidR="00E20411" w:rsidRDefault="00000000">
      <w:pPr>
        <w:spacing w:after="160"/>
      </w:pPr>
      <w:r>
        <w:t>The single most important design decision in the whole system is the random audit stream: a small, fixed fraction of all images (not just the ones a human happened to review) is sampled before triage and independently of the model’s decision, specifically to keep continuous recalibration statistically valid rather than silently biased by the triage policy’s own output.</w:t>
      </w:r>
    </w:p>
    <w:p w14:paraId="47320A53" w14:textId="77777777" w:rsidR="00E20411" w:rsidRDefault="00000000">
      <w:pPr>
        <w:pStyle w:val="Heading1"/>
        <w:spacing w:before="400" w:after="200"/>
      </w:pPr>
      <w:bookmarkStart w:id="12" w:name="_Toc237730573"/>
      <w:r>
        <w:t>13. System / Method Pipeline</w:t>
      </w:r>
      <w:bookmarkEnd w:id="12"/>
    </w:p>
    <w:p w14:paraId="65C2EF83" w14:textId="77777777" w:rsidR="00E20411" w:rsidRDefault="00000000">
      <w:pPr>
        <w:spacing w:after="160"/>
      </w:pPr>
      <w:r>
        <w:t>Two loops, offline and online, joined by the audit stream. Build and unit-test each stage before wiring it into the next.</w:t>
      </w:r>
    </w:p>
    <w:p w14:paraId="026B5ADF" w14:textId="77777777" w:rsidR="00E20411" w:rsidRDefault="00E2041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20411" w14:paraId="6AFBB80D" w14:textId="77777777">
        <w:tblPrEx>
          <w:tblCellMar>
            <w:top w:w="0" w:type="dxa"/>
            <w:bottom w:w="0" w:type="dxa"/>
          </w:tblCellMar>
        </w:tblPrEx>
        <w:tc>
          <w:tcPr>
            <w:tcW w:w="1200" w:type="dxa"/>
            <w:tcBorders>
              <w:top w:val="single" w:sz="4" w:space="0" w:color="B9C4D0"/>
              <w:left w:val="single" w:sz="4" w:space="0" w:color="B9C4D0"/>
              <w:bottom w:val="single" w:sz="4" w:space="0" w:color="B9C4D0"/>
              <w:right w:val="single" w:sz="4" w:space="0" w:color="B9C4D0"/>
            </w:tcBorders>
            <w:shd w:val="clear" w:color="auto" w:fill="1F2D50"/>
            <w:vAlign w:val="center"/>
          </w:tcPr>
          <w:p w14:paraId="6B89CE2A" w14:textId="77777777" w:rsidR="00E20411" w:rsidRDefault="00000000">
            <w:pPr>
              <w:jc w:val="center"/>
            </w:pPr>
            <w:r>
              <w:rPr>
                <w:b/>
                <w:bCs/>
                <w:color w:val="FFFFFF"/>
                <w:sz w:val="28"/>
                <w:szCs w:val="28"/>
              </w:rPr>
              <w:t>1</w:t>
            </w:r>
          </w:p>
        </w:tc>
        <w:tc>
          <w:tcPr>
            <w:tcW w:w="8160" w:type="dxa"/>
            <w:tcBorders>
              <w:top w:val="single" w:sz="4" w:space="0" w:color="B9C4D0"/>
              <w:left w:val="single" w:sz="4" w:space="0" w:color="B9C4D0"/>
              <w:bottom w:val="single" w:sz="4" w:space="0" w:color="B9C4D0"/>
              <w:right w:val="single" w:sz="4" w:space="0" w:color="B9C4D0"/>
            </w:tcBorders>
            <w:shd w:val="clear" w:color="auto" w:fill="F5F7FA"/>
            <w:tcMar>
              <w:top w:w="140" w:type="dxa"/>
              <w:left w:w="200" w:type="dxa"/>
              <w:bottom w:w="140" w:type="dxa"/>
              <w:right w:w="200" w:type="dxa"/>
            </w:tcMar>
          </w:tcPr>
          <w:p w14:paraId="20B70118" w14:textId="77777777" w:rsidR="00E20411" w:rsidRDefault="00000000">
            <w:pPr>
              <w:spacing w:after="70"/>
            </w:pPr>
            <w:r>
              <w:rPr>
                <w:b/>
                <w:bCs/>
                <w:color w:val="1F2D50"/>
              </w:rPr>
              <w:t>Calibration Pool</w:t>
            </w:r>
          </w:p>
          <w:p w14:paraId="27B1CC6A" w14:textId="77777777" w:rsidR="00E20411" w:rsidRDefault="00000000">
            <w:r>
              <w:rPr>
                <w:sz w:val="20"/>
                <w:szCs w:val="20"/>
              </w:rPr>
              <w:t>A labelled, held-out set of images, tagged by site and camera, feeds the offline calibration engine. Touched by nothing except the calibration computation itself.</w:t>
            </w:r>
          </w:p>
        </w:tc>
      </w:tr>
    </w:tbl>
    <w:p w14:paraId="55D0B7BE" w14:textId="77777777" w:rsidR="00E20411" w:rsidRDefault="00E20411">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20411" w14:paraId="200446EE" w14:textId="77777777">
        <w:tblPrEx>
          <w:tblCellMar>
            <w:top w:w="0" w:type="dxa"/>
            <w:bottom w:w="0" w:type="dxa"/>
          </w:tblCellMar>
        </w:tblPrEx>
        <w:tc>
          <w:tcPr>
            <w:tcW w:w="1200" w:type="dxa"/>
            <w:tcBorders>
              <w:top w:val="single" w:sz="4" w:space="0" w:color="B9C4D0"/>
              <w:left w:val="single" w:sz="4" w:space="0" w:color="B9C4D0"/>
              <w:bottom w:val="single" w:sz="4" w:space="0" w:color="B9C4D0"/>
              <w:right w:val="single" w:sz="4" w:space="0" w:color="B9C4D0"/>
            </w:tcBorders>
            <w:shd w:val="clear" w:color="auto" w:fill="1F2D50"/>
            <w:vAlign w:val="center"/>
          </w:tcPr>
          <w:p w14:paraId="4325D8F4" w14:textId="77777777" w:rsidR="00E20411" w:rsidRDefault="00000000">
            <w:pPr>
              <w:jc w:val="center"/>
            </w:pPr>
            <w:r>
              <w:rPr>
                <w:b/>
                <w:bCs/>
                <w:color w:val="FFFFFF"/>
                <w:sz w:val="28"/>
                <w:szCs w:val="28"/>
              </w:rPr>
              <w:t>2</w:t>
            </w:r>
          </w:p>
        </w:tc>
        <w:tc>
          <w:tcPr>
            <w:tcW w:w="8160" w:type="dxa"/>
            <w:tcBorders>
              <w:top w:val="single" w:sz="4" w:space="0" w:color="B9C4D0"/>
              <w:left w:val="single" w:sz="4" w:space="0" w:color="B9C4D0"/>
              <w:bottom w:val="single" w:sz="4" w:space="0" w:color="B9C4D0"/>
              <w:right w:val="single" w:sz="4" w:space="0" w:color="B9C4D0"/>
            </w:tcBorders>
            <w:shd w:val="clear" w:color="auto" w:fill="F5F7FA"/>
            <w:tcMar>
              <w:top w:w="140" w:type="dxa"/>
              <w:left w:w="200" w:type="dxa"/>
              <w:bottom w:w="140" w:type="dxa"/>
              <w:right w:w="200" w:type="dxa"/>
            </w:tcMar>
          </w:tcPr>
          <w:p w14:paraId="1E00D5D2" w14:textId="77777777" w:rsidR="00E20411" w:rsidRDefault="00000000">
            <w:pPr>
              <w:spacing w:after="70"/>
            </w:pPr>
            <w:r>
              <w:rPr>
                <w:b/>
                <w:bCs/>
                <w:color w:val="1F2D50"/>
              </w:rPr>
              <w:t>Frozen VLM Scoring</w:t>
            </w:r>
          </w:p>
          <w:p w14:paraId="21179037" w14:textId="77777777" w:rsidR="00E20411" w:rsidRDefault="00000000">
            <w:r>
              <w:rPr>
                <w:sz w:val="20"/>
                <w:szCs w:val="20"/>
              </w:rPr>
              <w:t>The frozen vision-language detector (no gradient, no training) produces a nonconformity score for every calibration example, cached once and reused across every experiment.</w:t>
            </w:r>
          </w:p>
        </w:tc>
      </w:tr>
    </w:tbl>
    <w:p w14:paraId="5F21CDBC" w14:textId="77777777" w:rsidR="00E20411" w:rsidRDefault="00E20411">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20411" w14:paraId="790D8E7D" w14:textId="77777777">
        <w:tblPrEx>
          <w:tblCellMar>
            <w:top w:w="0" w:type="dxa"/>
            <w:bottom w:w="0" w:type="dxa"/>
          </w:tblCellMar>
        </w:tblPrEx>
        <w:tc>
          <w:tcPr>
            <w:tcW w:w="1200" w:type="dxa"/>
            <w:tcBorders>
              <w:top w:val="single" w:sz="4" w:space="0" w:color="B9C4D0"/>
              <w:left w:val="single" w:sz="4" w:space="0" w:color="B9C4D0"/>
              <w:bottom w:val="single" w:sz="4" w:space="0" w:color="B9C4D0"/>
              <w:right w:val="single" w:sz="4" w:space="0" w:color="B9C4D0"/>
            </w:tcBorders>
            <w:shd w:val="clear" w:color="auto" w:fill="1F2D50"/>
            <w:vAlign w:val="center"/>
          </w:tcPr>
          <w:p w14:paraId="2EDE84C2" w14:textId="77777777" w:rsidR="00E20411" w:rsidRDefault="00000000">
            <w:pPr>
              <w:jc w:val="center"/>
            </w:pPr>
            <w:r>
              <w:rPr>
                <w:b/>
                <w:bCs/>
                <w:color w:val="FFFFFF"/>
                <w:sz w:val="28"/>
                <w:szCs w:val="28"/>
              </w:rPr>
              <w:t>3</w:t>
            </w:r>
          </w:p>
        </w:tc>
        <w:tc>
          <w:tcPr>
            <w:tcW w:w="8160" w:type="dxa"/>
            <w:tcBorders>
              <w:top w:val="single" w:sz="4" w:space="0" w:color="B9C4D0"/>
              <w:left w:val="single" w:sz="4" w:space="0" w:color="B9C4D0"/>
              <w:bottom w:val="single" w:sz="4" w:space="0" w:color="B9C4D0"/>
              <w:right w:val="single" w:sz="4" w:space="0" w:color="B9C4D0"/>
            </w:tcBorders>
            <w:shd w:val="clear" w:color="auto" w:fill="F5F7FA"/>
            <w:tcMar>
              <w:top w:w="140" w:type="dxa"/>
              <w:left w:w="200" w:type="dxa"/>
              <w:bottom w:w="140" w:type="dxa"/>
              <w:right w:w="200" w:type="dxa"/>
            </w:tcMar>
          </w:tcPr>
          <w:p w14:paraId="2997C9B0" w14:textId="77777777" w:rsidR="00E20411" w:rsidRDefault="00000000">
            <w:pPr>
              <w:spacing w:after="70"/>
            </w:pPr>
            <w:r>
              <w:rPr>
                <w:b/>
                <w:bCs/>
                <w:color w:val="1F2D50"/>
              </w:rPr>
              <w:t>Calibration Engine</w:t>
            </w:r>
          </w:p>
          <w:p w14:paraId="3F213C28" w14:textId="77777777" w:rsidR="00E20411" w:rsidRDefault="00000000">
            <w:r>
              <w:rPr>
                <w:sz w:val="20"/>
                <w:szCs w:val="20"/>
              </w:rPr>
              <w:t>Split CP, conformal risk control, and Learn-then-Test each consume the score vector and a target miss-rate ε, emitting a threshold λ̂ and set-quantile q̂ per site cluster.</w:t>
            </w:r>
          </w:p>
        </w:tc>
      </w:tr>
    </w:tbl>
    <w:p w14:paraId="182047F3" w14:textId="77777777" w:rsidR="00E20411" w:rsidRDefault="00E20411">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20411" w14:paraId="3D3934AE" w14:textId="77777777">
        <w:tblPrEx>
          <w:tblCellMar>
            <w:top w:w="0" w:type="dxa"/>
            <w:bottom w:w="0" w:type="dxa"/>
          </w:tblCellMar>
        </w:tblPrEx>
        <w:tc>
          <w:tcPr>
            <w:tcW w:w="1200" w:type="dxa"/>
            <w:tcBorders>
              <w:top w:val="single" w:sz="4" w:space="0" w:color="B9C4D0"/>
              <w:left w:val="single" w:sz="4" w:space="0" w:color="B9C4D0"/>
              <w:bottom w:val="single" w:sz="4" w:space="0" w:color="B9C4D0"/>
              <w:right w:val="single" w:sz="4" w:space="0" w:color="B9C4D0"/>
            </w:tcBorders>
            <w:shd w:val="clear" w:color="auto" w:fill="1F2D50"/>
            <w:vAlign w:val="center"/>
          </w:tcPr>
          <w:p w14:paraId="2974F68B" w14:textId="77777777" w:rsidR="00E20411" w:rsidRDefault="00000000">
            <w:pPr>
              <w:jc w:val="center"/>
            </w:pPr>
            <w:r>
              <w:rPr>
                <w:b/>
                <w:bCs/>
                <w:color w:val="FFFFFF"/>
                <w:sz w:val="28"/>
                <w:szCs w:val="28"/>
              </w:rPr>
              <w:t>4</w:t>
            </w:r>
          </w:p>
        </w:tc>
        <w:tc>
          <w:tcPr>
            <w:tcW w:w="8160" w:type="dxa"/>
            <w:tcBorders>
              <w:top w:val="single" w:sz="4" w:space="0" w:color="B9C4D0"/>
              <w:left w:val="single" w:sz="4" w:space="0" w:color="B9C4D0"/>
              <w:bottom w:val="single" w:sz="4" w:space="0" w:color="B9C4D0"/>
              <w:right w:val="single" w:sz="4" w:space="0" w:color="B9C4D0"/>
            </w:tcBorders>
            <w:shd w:val="clear" w:color="auto" w:fill="F5F7FA"/>
            <w:tcMar>
              <w:top w:w="140" w:type="dxa"/>
              <w:left w:w="200" w:type="dxa"/>
              <w:bottom w:w="140" w:type="dxa"/>
              <w:right w:w="200" w:type="dxa"/>
            </w:tcMar>
          </w:tcPr>
          <w:p w14:paraId="0722EDFE" w14:textId="77777777" w:rsidR="00E20411" w:rsidRDefault="00000000">
            <w:pPr>
              <w:spacing w:after="70"/>
            </w:pPr>
            <w:r>
              <w:rPr>
                <w:b/>
                <w:bCs/>
                <w:color w:val="1F2D50"/>
              </w:rPr>
              <w:t>Online Scoring</w:t>
            </w:r>
          </w:p>
          <w:p w14:paraId="6210E54A" w14:textId="77777777" w:rsidR="00E20411" w:rsidRDefault="00000000">
            <w:r>
              <w:rPr>
                <w:sz w:val="20"/>
                <w:szCs w:val="20"/>
              </w:rPr>
              <w:t>For each incoming inspection image, the frozen VLM produces a single score in a single forward pass — an O(1), sub-millisecond comparison against the cached threshold.</w:t>
            </w:r>
          </w:p>
        </w:tc>
      </w:tr>
    </w:tbl>
    <w:p w14:paraId="56A6C729" w14:textId="77777777" w:rsidR="00E20411" w:rsidRDefault="00E20411">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20411" w14:paraId="71D2289A" w14:textId="77777777">
        <w:tblPrEx>
          <w:tblCellMar>
            <w:top w:w="0" w:type="dxa"/>
            <w:bottom w:w="0" w:type="dxa"/>
          </w:tblCellMar>
        </w:tblPrEx>
        <w:tc>
          <w:tcPr>
            <w:tcW w:w="1200" w:type="dxa"/>
            <w:tcBorders>
              <w:top w:val="single" w:sz="4" w:space="0" w:color="B9C4D0"/>
              <w:left w:val="single" w:sz="4" w:space="0" w:color="B9C4D0"/>
              <w:bottom w:val="single" w:sz="4" w:space="0" w:color="B9C4D0"/>
              <w:right w:val="single" w:sz="4" w:space="0" w:color="B9C4D0"/>
            </w:tcBorders>
            <w:shd w:val="clear" w:color="auto" w:fill="1F2D50"/>
            <w:vAlign w:val="center"/>
          </w:tcPr>
          <w:p w14:paraId="57334277" w14:textId="77777777" w:rsidR="00E20411" w:rsidRDefault="00000000">
            <w:pPr>
              <w:jc w:val="center"/>
            </w:pPr>
            <w:r>
              <w:rPr>
                <w:b/>
                <w:bCs/>
                <w:color w:val="FFFFFF"/>
                <w:sz w:val="28"/>
                <w:szCs w:val="28"/>
              </w:rPr>
              <w:t>5</w:t>
            </w:r>
          </w:p>
        </w:tc>
        <w:tc>
          <w:tcPr>
            <w:tcW w:w="8160" w:type="dxa"/>
            <w:tcBorders>
              <w:top w:val="single" w:sz="4" w:space="0" w:color="B9C4D0"/>
              <w:left w:val="single" w:sz="4" w:space="0" w:color="B9C4D0"/>
              <w:bottom w:val="single" w:sz="4" w:space="0" w:color="B9C4D0"/>
              <w:right w:val="single" w:sz="4" w:space="0" w:color="B9C4D0"/>
            </w:tcBorders>
            <w:shd w:val="clear" w:color="auto" w:fill="F5F7FA"/>
            <w:tcMar>
              <w:top w:w="140" w:type="dxa"/>
              <w:left w:w="200" w:type="dxa"/>
              <w:bottom w:w="140" w:type="dxa"/>
              <w:right w:w="200" w:type="dxa"/>
            </w:tcMar>
          </w:tcPr>
          <w:p w14:paraId="6489AF83" w14:textId="77777777" w:rsidR="00E20411" w:rsidRDefault="00000000">
            <w:pPr>
              <w:spacing w:after="70"/>
            </w:pPr>
            <w:r>
              <w:rPr>
                <w:b/>
                <w:bCs/>
                <w:color w:val="1F2D50"/>
              </w:rPr>
              <w:t>Triage Decision</w:t>
            </w:r>
          </w:p>
          <w:p w14:paraId="111F1E18" w14:textId="77777777" w:rsidR="00E20411" w:rsidRDefault="00000000">
            <w:r>
              <w:rPr>
                <w:sz w:val="20"/>
                <w:szCs w:val="20"/>
              </w:rPr>
              <w:lastRenderedPageBreak/>
              <w:t>The score is compared to λ̂: below it, AUTO_CLEAR with an attached risk statement; otherwise FLAG (one confident defect type) or ESCALATE (ambiguous, multiple plausible classes) for a human.</w:t>
            </w:r>
          </w:p>
        </w:tc>
      </w:tr>
    </w:tbl>
    <w:p w14:paraId="266C8A64" w14:textId="77777777" w:rsidR="00E20411" w:rsidRDefault="00E20411">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20411" w14:paraId="3D4451AD" w14:textId="77777777">
        <w:tblPrEx>
          <w:tblCellMar>
            <w:top w:w="0" w:type="dxa"/>
            <w:bottom w:w="0" w:type="dxa"/>
          </w:tblCellMar>
        </w:tblPrEx>
        <w:tc>
          <w:tcPr>
            <w:tcW w:w="1200" w:type="dxa"/>
            <w:tcBorders>
              <w:top w:val="single" w:sz="4" w:space="0" w:color="B9C4D0"/>
              <w:left w:val="single" w:sz="4" w:space="0" w:color="B9C4D0"/>
              <w:bottom w:val="single" w:sz="4" w:space="0" w:color="B9C4D0"/>
              <w:right w:val="single" w:sz="4" w:space="0" w:color="B9C4D0"/>
            </w:tcBorders>
            <w:shd w:val="clear" w:color="auto" w:fill="1F2D50"/>
            <w:vAlign w:val="center"/>
          </w:tcPr>
          <w:p w14:paraId="2D05EE47" w14:textId="77777777" w:rsidR="00E20411" w:rsidRDefault="00000000">
            <w:pPr>
              <w:jc w:val="center"/>
            </w:pPr>
            <w:r>
              <w:rPr>
                <w:b/>
                <w:bCs/>
                <w:color w:val="FFFFFF"/>
                <w:sz w:val="28"/>
                <w:szCs w:val="28"/>
              </w:rPr>
              <w:t>6</w:t>
            </w:r>
          </w:p>
        </w:tc>
        <w:tc>
          <w:tcPr>
            <w:tcW w:w="8160" w:type="dxa"/>
            <w:tcBorders>
              <w:top w:val="single" w:sz="4" w:space="0" w:color="B9C4D0"/>
              <w:left w:val="single" w:sz="4" w:space="0" w:color="B9C4D0"/>
              <w:bottom w:val="single" w:sz="4" w:space="0" w:color="B9C4D0"/>
              <w:right w:val="single" w:sz="4" w:space="0" w:color="B9C4D0"/>
            </w:tcBorders>
            <w:shd w:val="clear" w:color="auto" w:fill="F5F7FA"/>
            <w:tcMar>
              <w:top w:w="140" w:type="dxa"/>
              <w:left w:w="200" w:type="dxa"/>
              <w:bottom w:w="140" w:type="dxa"/>
              <w:right w:w="200" w:type="dxa"/>
            </w:tcMar>
          </w:tcPr>
          <w:p w14:paraId="5792EC5D" w14:textId="77777777" w:rsidR="00E20411" w:rsidRDefault="00000000">
            <w:pPr>
              <w:spacing w:after="70"/>
            </w:pPr>
            <w:r>
              <w:rPr>
                <w:b/>
                <w:bCs/>
                <w:color w:val="1F2D50"/>
              </w:rPr>
              <w:t>Random Audit Stream</w:t>
            </w:r>
          </w:p>
          <w:p w14:paraId="3A828C12" w14:textId="77777777" w:rsidR="00E20411" w:rsidRDefault="00000000">
            <w:r>
              <w:rPr>
                <w:sz w:val="20"/>
                <w:szCs w:val="20"/>
              </w:rPr>
              <w:t>Independently of the triage decision, roughly 3% of all images are sampled for human labelling before triage — the mechanism that keeps weekly recalibration statistically legitimate rather than a selection-biased illusion.</w:t>
            </w:r>
          </w:p>
        </w:tc>
      </w:tr>
    </w:tbl>
    <w:p w14:paraId="00FE2A1A" w14:textId="77777777" w:rsidR="00E20411" w:rsidRDefault="00E20411">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20411" w14:paraId="35F5DE4E" w14:textId="77777777">
        <w:tblPrEx>
          <w:tblCellMar>
            <w:top w:w="0" w:type="dxa"/>
            <w:bottom w:w="0" w:type="dxa"/>
          </w:tblCellMar>
        </w:tblPrEx>
        <w:tc>
          <w:tcPr>
            <w:tcW w:w="1200" w:type="dxa"/>
            <w:tcBorders>
              <w:top w:val="single" w:sz="4" w:space="0" w:color="B9C4D0"/>
              <w:left w:val="single" w:sz="4" w:space="0" w:color="B9C4D0"/>
              <w:bottom w:val="single" w:sz="4" w:space="0" w:color="B9C4D0"/>
              <w:right w:val="single" w:sz="4" w:space="0" w:color="B9C4D0"/>
            </w:tcBorders>
            <w:shd w:val="clear" w:color="auto" w:fill="1F2D50"/>
            <w:vAlign w:val="center"/>
          </w:tcPr>
          <w:p w14:paraId="31A1C92A" w14:textId="77777777" w:rsidR="00E20411" w:rsidRDefault="00000000">
            <w:pPr>
              <w:jc w:val="center"/>
            </w:pPr>
            <w:r>
              <w:rPr>
                <w:b/>
                <w:bCs/>
                <w:color w:val="FFFFFF"/>
                <w:sz w:val="28"/>
                <w:szCs w:val="28"/>
              </w:rPr>
              <w:t>7</w:t>
            </w:r>
          </w:p>
        </w:tc>
        <w:tc>
          <w:tcPr>
            <w:tcW w:w="8160" w:type="dxa"/>
            <w:tcBorders>
              <w:top w:val="single" w:sz="4" w:space="0" w:color="B9C4D0"/>
              <w:left w:val="single" w:sz="4" w:space="0" w:color="B9C4D0"/>
              <w:bottom w:val="single" w:sz="4" w:space="0" w:color="B9C4D0"/>
              <w:right w:val="single" w:sz="4" w:space="0" w:color="B9C4D0"/>
            </w:tcBorders>
            <w:shd w:val="clear" w:color="auto" w:fill="F5F7FA"/>
            <w:tcMar>
              <w:top w:w="140" w:type="dxa"/>
              <w:left w:w="200" w:type="dxa"/>
              <w:bottom w:w="140" w:type="dxa"/>
              <w:right w:w="200" w:type="dxa"/>
            </w:tcMar>
          </w:tcPr>
          <w:p w14:paraId="26AF200F" w14:textId="77777777" w:rsidR="00E20411" w:rsidRDefault="00000000">
            <w:pPr>
              <w:spacing w:after="70"/>
            </w:pPr>
            <w:r>
              <w:rPr>
                <w:b/>
                <w:bCs/>
                <w:color w:val="1F2D50"/>
              </w:rPr>
              <w:t>Human Review</w:t>
            </w:r>
          </w:p>
          <w:p w14:paraId="276DAF96" w14:textId="77777777" w:rsidR="00E20411" w:rsidRDefault="00000000">
            <w:r>
              <w:rPr>
                <w:sz w:val="20"/>
                <w:szCs w:val="20"/>
              </w:rPr>
              <w:t>Flagged and escalated images, plus the randomly audited stream, are labelled by a human and returned to the calibration pool as the source of ground truth.</w:t>
            </w:r>
          </w:p>
        </w:tc>
      </w:tr>
    </w:tbl>
    <w:p w14:paraId="345E1923" w14:textId="77777777" w:rsidR="00E20411" w:rsidRDefault="00E20411">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20411" w14:paraId="62E2E45E" w14:textId="77777777">
        <w:tblPrEx>
          <w:tblCellMar>
            <w:top w:w="0" w:type="dxa"/>
            <w:bottom w:w="0" w:type="dxa"/>
          </w:tblCellMar>
        </w:tblPrEx>
        <w:tc>
          <w:tcPr>
            <w:tcW w:w="1200" w:type="dxa"/>
            <w:tcBorders>
              <w:top w:val="single" w:sz="4" w:space="0" w:color="B9C4D0"/>
              <w:left w:val="single" w:sz="4" w:space="0" w:color="B9C4D0"/>
              <w:bottom w:val="single" w:sz="4" w:space="0" w:color="B9C4D0"/>
              <w:right w:val="single" w:sz="4" w:space="0" w:color="B9C4D0"/>
            </w:tcBorders>
            <w:shd w:val="clear" w:color="auto" w:fill="1F2D50"/>
            <w:vAlign w:val="center"/>
          </w:tcPr>
          <w:p w14:paraId="18F717C1" w14:textId="77777777" w:rsidR="00E20411" w:rsidRDefault="00000000">
            <w:pPr>
              <w:jc w:val="center"/>
            </w:pPr>
            <w:r>
              <w:rPr>
                <w:b/>
                <w:bCs/>
                <w:color w:val="FFFFFF"/>
                <w:sz w:val="28"/>
                <w:szCs w:val="28"/>
              </w:rPr>
              <w:t>8</w:t>
            </w:r>
          </w:p>
        </w:tc>
        <w:tc>
          <w:tcPr>
            <w:tcW w:w="8160" w:type="dxa"/>
            <w:tcBorders>
              <w:top w:val="single" w:sz="4" w:space="0" w:color="B9C4D0"/>
              <w:left w:val="single" w:sz="4" w:space="0" w:color="B9C4D0"/>
              <w:bottom w:val="single" w:sz="4" w:space="0" w:color="B9C4D0"/>
              <w:right w:val="single" w:sz="4" w:space="0" w:color="B9C4D0"/>
            </w:tcBorders>
            <w:shd w:val="clear" w:color="auto" w:fill="F5F7FA"/>
            <w:tcMar>
              <w:top w:w="140" w:type="dxa"/>
              <w:left w:w="200" w:type="dxa"/>
              <w:bottom w:w="140" w:type="dxa"/>
              <w:right w:w="200" w:type="dxa"/>
            </w:tcMar>
          </w:tcPr>
          <w:p w14:paraId="5A56F7E4" w14:textId="77777777" w:rsidR="00E20411" w:rsidRDefault="00000000">
            <w:pPr>
              <w:spacing w:after="70"/>
            </w:pPr>
            <w:r>
              <w:rPr>
                <w:b/>
                <w:bCs/>
                <w:color w:val="1F2D50"/>
              </w:rPr>
              <w:t>Weekly Recalibration</w:t>
            </w:r>
          </w:p>
          <w:p w14:paraId="5570C92F" w14:textId="77777777" w:rsidR="00E20411" w:rsidRDefault="00000000">
            <w:r>
              <w:rPr>
                <w:sz w:val="20"/>
                <w:szCs w:val="20"/>
              </w:rPr>
              <w:t>The calibration engine reruns as a deliberate batch job — never a per-request side effect — folding new labelled examples into an updated threshold per site cluster.</w:t>
            </w:r>
          </w:p>
        </w:tc>
      </w:tr>
    </w:tbl>
    <w:p w14:paraId="355FD140" w14:textId="77777777" w:rsidR="00E20411" w:rsidRDefault="00E20411">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20411" w14:paraId="06B30391" w14:textId="77777777">
        <w:tblPrEx>
          <w:tblCellMar>
            <w:top w:w="0" w:type="dxa"/>
            <w:bottom w:w="0" w:type="dxa"/>
          </w:tblCellMar>
        </w:tblPrEx>
        <w:tc>
          <w:tcPr>
            <w:tcW w:w="1200" w:type="dxa"/>
            <w:tcBorders>
              <w:top w:val="single" w:sz="4" w:space="0" w:color="B9C4D0"/>
              <w:left w:val="single" w:sz="4" w:space="0" w:color="B9C4D0"/>
              <w:bottom w:val="single" w:sz="4" w:space="0" w:color="B9C4D0"/>
              <w:right w:val="single" w:sz="4" w:space="0" w:color="B9C4D0"/>
            </w:tcBorders>
            <w:shd w:val="clear" w:color="auto" w:fill="1F2D50"/>
            <w:vAlign w:val="center"/>
          </w:tcPr>
          <w:p w14:paraId="37EB5BB1" w14:textId="77777777" w:rsidR="00E20411" w:rsidRDefault="00000000">
            <w:pPr>
              <w:jc w:val="center"/>
            </w:pPr>
            <w:r>
              <w:rPr>
                <w:b/>
                <w:bCs/>
                <w:color w:val="FFFFFF"/>
                <w:sz w:val="28"/>
                <w:szCs w:val="28"/>
              </w:rPr>
              <w:t>9</w:t>
            </w:r>
          </w:p>
        </w:tc>
        <w:tc>
          <w:tcPr>
            <w:tcW w:w="8160" w:type="dxa"/>
            <w:tcBorders>
              <w:top w:val="single" w:sz="4" w:space="0" w:color="B9C4D0"/>
              <w:left w:val="single" w:sz="4" w:space="0" w:color="B9C4D0"/>
              <w:bottom w:val="single" w:sz="4" w:space="0" w:color="B9C4D0"/>
              <w:right w:val="single" w:sz="4" w:space="0" w:color="B9C4D0"/>
            </w:tcBorders>
            <w:shd w:val="clear" w:color="auto" w:fill="F5F7FA"/>
            <w:tcMar>
              <w:top w:w="140" w:type="dxa"/>
              <w:left w:w="200" w:type="dxa"/>
              <w:bottom w:w="140" w:type="dxa"/>
              <w:right w:w="200" w:type="dxa"/>
            </w:tcMar>
          </w:tcPr>
          <w:p w14:paraId="5B296E2A" w14:textId="77777777" w:rsidR="00E20411" w:rsidRDefault="00000000">
            <w:pPr>
              <w:spacing w:after="70"/>
            </w:pPr>
            <w:r>
              <w:rPr>
                <w:b/>
                <w:bCs/>
                <w:color w:val="1F2D50"/>
              </w:rPr>
              <w:t>Shift Monitoring</w:t>
            </w:r>
          </w:p>
          <w:p w14:paraId="5F742B6E" w14:textId="77777777" w:rsidR="00E20411" w:rsidRDefault="00000000">
            <w:r>
              <w:rPr>
                <w:sz w:val="20"/>
                <w:szCs w:val="20"/>
              </w:rPr>
              <w:t>A domain classifier over VLM features is tracked across sites; a rising separability (AUC) is the early-warning signal that a site cluster’s threshold may be drifting out of validity.</w:t>
            </w:r>
          </w:p>
        </w:tc>
      </w:tr>
    </w:tbl>
    <w:p w14:paraId="1C9C74AB" w14:textId="77777777" w:rsidR="00E20411" w:rsidRDefault="00000000">
      <w:r>
        <w:br w:type="page"/>
      </w:r>
    </w:p>
    <w:p w14:paraId="3934974B" w14:textId="77777777" w:rsidR="00E20411" w:rsidRDefault="00000000">
      <w:pPr>
        <w:pStyle w:val="Heading1"/>
        <w:spacing w:before="400" w:after="200"/>
      </w:pPr>
      <w:bookmarkStart w:id="13" w:name="_Toc237730574"/>
      <w:r>
        <w:lastRenderedPageBreak/>
        <w:t>14. Architecture and Major Components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800"/>
        <w:gridCol w:w="3660"/>
      </w:tblGrid>
      <w:tr w:rsidR="00E20411" w14:paraId="7BAC5EC4" w14:textId="77777777">
        <w:tblPrEx>
          <w:tblCellMar>
            <w:top w:w="0" w:type="dxa"/>
            <w:bottom w:w="0" w:type="dxa"/>
          </w:tblCellMar>
        </w:tblPrEx>
        <w:trPr>
          <w:tblHeader/>
        </w:trPr>
        <w:tc>
          <w:tcPr>
            <w:tcW w:w="1900" w:type="dxa"/>
            <w:tcBorders>
              <w:top w:val="single" w:sz="4" w:space="0" w:color="B9C4D0"/>
              <w:left w:val="single" w:sz="4" w:space="0" w:color="B9C4D0"/>
              <w:bottom w:val="single" w:sz="4" w:space="0" w:color="B9C4D0"/>
              <w:right w:val="single" w:sz="4" w:space="0" w:color="B9C4D0"/>
            </w:tcBorders>
            <w:shd w:val="clear" w:color="auto" w:fill="1F2D50"/>
            <w:tcMar>
              <w:top w:w="100" w:type="dxa"/>
              <w:left w:w="120" w:type="dxa"/>
              <w:bottom w:w="100" w:type="dxa"/>
              <w:right w:w="120" w:type="dxa"/>
            </w:tcMar>
          </w:tcPr>
          <w:p w14:paraId="319CE38D" w14:textId="77777777" w:rsidR="00E20411" w:rsidRDefault="00000000">
            <w:r>
              <w:rPr>
                <w:b/>
                <w:bCs/>
                <w:color w:val="FFFFFF"/>
                <w:sz w:val="19"/>
                <w:szCs w:val="19"/>
              </w:rPr>
              <w:t>Layer</w:t>
            </w:r>
          </w:p>
        </w:tc>
        <w:tc>
          <w:tcPr>
            <w:tcW w:w="3800" w:type="dxa"/>
            <w:tcBorders>
              <w:top w:val="single" w:sz="4" w:space="0" w:color="B9C4D0"/>
              <w:left w:val="single" w:sz="4" w:space="0" w:color="B9C4D0"/>
              <w:bottom w:val="single" w:sz="4" w:space="0" w:color="B9C4D0"/>
              <w:right w:val="single" w:sz="4" w:space="0" w:color="B9C4D0"/>
            </w:tcBorders>
            <w:shd w:val="clear" w:color="auto" w:fill="1F2D50"/>
            <w:tcMar>
              <w:top w:w="100" w:type="dxa"/>
              <w:left w:w="120" w:type="dxa"/>
              <w:bottom w:w="100" w:type="dxa"/>
              <w:right w:w="120" w:type="dxa"/>
            </w:tcMar>
          </w:tcPr>
          <w:p w14:paraId="6AD260C0" w14:textId="77777777" w:rsidR="00E20411" w:rsidRDefault="00000000">
            <w:r>
              <w:rPr>
                <w:b/>
                <w:bCs/>
                <w:color w:val="FFFFFF"/>
                <w:sz w:val="19"/>
                <w:szCs w:val="19"/>
              </w:rPr>
              <w:t>Components</w:t>
            </w:r>
          </w:p>
        </w:tc>
        <w:tc>
          <w:tcPr>
            <w:tcW w:w="3660" w:type="dxa"/>
            <w:tcBorders>
              <w:top w:val="single" w:sz="4" w:space="0" w:color="B9C4D0"/>
              <w:left w:val="single" w:sz="4" w:space="0" w:color="B9C4D0"/>
              <w:bottom w:val="single" w:sz="4" w:space="0" w:color="B9C4D0"/>
              <w:right w:val="single" w:sz="4" w:space="0" w:color="B9C4D0"/>
            </w:tcBorders>
            <w:shd w:val="clear" w:color="auto" w:fill="1F2D50"/>
            <w:tcMar>
              <w:top w:w="100" w:type="dxa"/>
              <w:left w:w="120" w:type="dxa"/>
              <w:bottom w:w="100" w:type="dxa"/>
              <w:right w:w="120" w:type="dxa"/>
            </w:tcMar>
          </w:tcPr>
          <w:p w14:paraId="23D69F5C" w14:textId="77777777" w:rsidR="00E20411" w:rsidRDefault="00000000">
            <w:r>
              <w:rPr>
                <w:b/>
                <w:bCs/>
                <w:color w:val="FFFFFF"/>
                <w:sz w:val="19"/>
                <w:szCs w:val="19"/>
              </w:rPr>
              <w:t>Responsibility</w:t>
            </w:r>
          </w:p>
        </w:tc>
      </w:tr>
      <w:tr w:rsidR="00E20411" w14:paraId="6CD17347" w14:textId="77777777">
        <w:tblPrEx>
          <w:tblCellMar>
            <w:top w:w="0" w:type="dxa"/>
            <w:bottom w:w="0" w:type="dxa"/>
          </w:tblCellMar>
        </w:tblPrEx>
        <w:tc>
          <w:tcPr>
            <w:tcW w:w="19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1EBC76F2" w14:textId="77777777" w:rsidR="00E20411" w:rsidRDefault="00000000">
            <w:pPr>
              <w:spacing w:after="40"/>
            </w:pPr>
            <w:r>
              <w:rPr>
                <w:sz w:val="19"/>
                <w:szCs w:val="19"/>
              </w:rPr>
              <w:t>Data</w:t>
            </w:r>
          </w:p>
        </w:tc>
        <w:tc>
          <w:tcPr>
            <w:tcW w:w="38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3F2BF190" w14:textId="77777777" w:rsidR="00E20411" w:rsidRDefault="00000000">
            <w:pPr>
              <w:spacing w:after="40"/>
            </w:pPr>
            <w:r>
              <w:rPr>
                <w:sz w:val="19"/>
                <w:szCs w:val="19"/>
              </w:rPr>
              <w:t xml:space="preserve">SQLite: images, labels, scores, calibrations, decisions, </w:t>
            </w:r>
            <w:proofErr w:type="spellStart"/>
            <w:r>
              <w:rPr>
                <w:sz w:val="19"/>
                <w:szCs w:val="19"/>
              </w:rPr>
              <w:t>audit_samples</w:t>
            </w:r>
            <w:proofErr w:type="spellEnd"/>
          </w:p>
        </w:tc>
        <w:tc>
          <w:tcPr>
            <w:tcW w:w="366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13DEFE60" w14:textId="77777777" w:rsidR="00E20411" w:rsidRDefault="00000000">
            <w:pPr>
              <w:spacing w:after="40"/>
            </w:pPr>
            <w:r>
              <w:rPr>
                <w:sz w:val="19"/>
                <w:szCs w:val="19"/>
              </w:rPr>
              <w:t>The atom of the system — every table keyed so a figure traces back to a split hash and model version</w:t>
            </w:r>
          </w:p>
        </w:tc>
      </w:tr>
      <w:tr w:rsidR="00E20411" w14:paraId="47EA5916" w14:textId="77777777">
        <w:tblPrEx>
          <w:tblCellMar>
            <w:top w:w="0" w:type="dxa"/>
            <w:bottom w:w="0" w:type="dxa"/>
          </w:tblCellMar>
        </w:tblPrEx>
        <w:tc>
          <w:tcPr>
            <w:tcW w:w="190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3A4052CB" w14:textId="77777777" w:rsidR="00E20411" w:rsidRDefault="00000000">
            <w:pPr>
              <w:spacing w:after="40"/>
            </w:pPr>
            <w:r>
              <w:rPr>
                <w:sz w:val="19"/>
                <w:szCs w:val="19"/>
              </w:rPr>
              <w:t>Conformal Core</w:t>
            </w:r>
          </w:p>
        </w:tc>
        <w:tc>
          <w:tcPr>
            <w:tcW w:w="380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50B51415" w14:textId="77777777" w:rsidR="00E20411" w:rsidRDefault="00000000">
            <w:pPr>
              <w:spacing w:after="40"/>
            </w:pPr>
            <w:r>
              <w:rPr>
                <w:sz w:val="19"/>
                <w:szCs w:val="19"/>
              </w:rPr>
              <w:t>quantile.py, split_cp.py, crc.py, ltt.py, weighted.py, mondrian.py, localized.py</w:t>
            </w:r>
          </w:p>
        </w:tc>
        <w:tc>
          <w:tcPr>
            <w:tcW w:w="366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4DD03767" w14:textId="77777777" w:rsidR="00E20411" w:rsidRDefault="00000000">
            <w:pPr>
              <w:spacing w:after="40"/>
            </w:pPr>
            <w:r>
              <w:rPr>
                <w:sz w:val="19"/>
                <w:szCs w:val="19"/>
              </w:rPr>
              <w:t>The corrected quantile, split CP variants, conformal risk control, Learn-then-Test, and the three shift-correction methods</w:t>
            </w:r>
          </w:p>
        </w:tc>
      </w:tr>
      <w:tr w:rsidR="00E20411" w14:paraId="23F6772A" w14:textId="77777777">
        <w:tblPrEx>
          <w:tblCellMar>
            <w:top w:w="0" w:type="dxa"/>
            <w:bottom w:w="0" w:type="dxa"/>
          </w:tblCellMar>
        </w:tblPrEx>
        <w:tc>
          <w:tcPr>
            <w:tcW w:w="19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046885B3" w14:textId="77777777" w:rsidR="00E20411" w:rsidRDefault="00000000">
            <w:pPr>
              <w:spacing w:after="40"/>
            </w:pPr>
            <w:r>
              <w:rPr>
                <w:sz w:val="19"/>
                <w:szCs w:val="19"/>
              </w:rPr>
              <w:t>Scoring</w:t>
            </w:r>
          </w:p>
        </w:tc>
        <w:tc>
          <w:tcPr>
            <w:tcW w:w="38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38DDDC4D" w14:textId="77777777" w:rsidR="00E20411" w:rsidRDefault="00000000">
            <w:pPr>
              <w:spacing w:after="40"/>
            </w:pPr>
            <w:r>
              <w:rPr>
                <w:sz w:val="19"/>
                <w:szCs w:val="19"/>
              </w:rPr>
              <w:t>A registry of seven nonconformity scores (S1–S7), swappable by config</w:t>
            </w:r>
          </w:p>
        </w:tc>
        <w:tc>
          <w:tcPr>
            <w:tcW w:w="366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32593942" w14:textId="77777777" w:rsidR="00E20411" w:rsidRDefault="00000000">
            <w:pPr>
              <w:spacing w:after="40"/>
            </w:pPr>
            <w:r>
              <w:rPr>
                <w:sz w:val="19"/>
                <w:szCs w:val="19"/>
              </w:rPr>
              <w:t>Precomputed once per image, cached, reused across every 100-seed experiment</w:t>
            </w:r>
          </w:p>
        </w:tc>
      </w:tr>
      <w:tr w:rsidR="00E20411" w14:paraId="7FCAEDBA" w14:textId="77777777">
        <w:tblPrEx>
          <w:tblCellMar>
            <w:top w:w="0" w:type="dxa"/>
            <w:bottom w:w="0" w:type="dxa"/>
          </w:tblCellMar>
        </w:tblPrEx>
        <w:tc>
          <w:tcPr>
            <w:tcW w:w="190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41464619" w14:textId="77777777" w:rsidR="00E20411" w:rsidRDefault="00000000">
            <w:pPr>
              <w:spacing w:after="40"/>
            </w:pPr>
            <w:r>
              <w:rPr>
                <w:sz w:val="19"/>
                <w:szCs w:val="19"/>
              </w:rPr>
              <w:t>Triage &amp; Economics</w:t>
            </w:r>
          </w:p>
        </w:tc>
        <w:tc>
          <w:tcPr>
            <w:tcW w:w="380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3FFBFDA1" w14:textId="77777777" w:rsidR="00E20411" w:rsidRDefault="00000000">
            <w:pPr>
              <w:spacing w:after="40"/>
            </w:pPr>
            <w:r>
              <w:rPr>
                <w:sz w:val="19"/>
                <w:szCs w:val="19"/>
              </w:rPr>
              <w:t>policy.py, economics.py</w:t>
            </w:r>
          </w:p>
        </w:tc>
        <w:tc>
          <w:tcPr>
            <w:tcW w:w="366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413DED71" w14:textId="77777777" w:rsidR="00E20411" w:rsidRDefault="00000000">
            <w:pPr>
              <w:spacing w:after="40"/>
            </w:pPr>
            <w:r>
              <w:rPr>
                <w:sz w:val="19"/>
                <w:szCs w:val="19"/>
              </w:rPr>
              <w:t>Converts thresholds into AUTO_CLEAR / FLAG / ESCALATE and computes human-review fraction and cost break-even</w:t>
            </w:r>
          </w:p>
        </w:tc>
      </w:tr>
      <w:tr w:rsidR="00E20411" w14:paraId="3B9E6224" w14:textId="77777777">
        <w:tblPrEx>
          <w:tblCellMar>
            <w:top w:w="0" w:type="dxa"/>
            <w:bottom w:w="0" w:type="dxa"/>
          </w:tblCellMar>
        </w:tblPrEx>
        <w:tc>
          <w:tcPr>
            <w:tcW w:w="19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270EE511" w14:textId="77777777" w:rsidR="00E20411" w:rsidRDefault="00000000">
            <w:pPr>
              <w:spacing w:after="40"/>
            </w:pPr>
            <w:r>
              <w:rPr>
                <w:sz w:val="19"/>
                <w:szCs w:val="19"/>
              </w:rPr>
              <w:t>Service &amp; Console</w:t>
            </w:r>
          </w:p>
        </w:tc>
        <w:tc>
          <w:tcPr>
            <w:tcW w:w="38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0176979E" w14:textId="77777777" w:rsidR="00E20411" w:rsidRDefault="00000000">
            <w:pPr>
              <w:spacing w:after="40"/>
            </w:pPr>
            <w:proofErr w:type="spellStart"/>
            <w:r>
              <w:rPr>
                <w:sz w:val="19"/>
                <w:szCs w:val="19"/>
              </w:rPr>
              <w:t>FastAPI</w:t>
            </w:r>
            <w:proofErr w:type="spellEnd"/>
            <w:r>
              <w:rPr>
                <w:sz w:val="19"/>
                <w:szCs w:val="19"/>
              </w:rPr>
              <w:t xml:space="preserve"> service; </w:t>
            </w:r>
            <w:proofErr w:type="spellStart"/>
            <w:r>
              <w:rPr>
                <w:sz w:val="19"/>
                <w:szCs w:val="19"/>
              </w:rPr>
              <w:t>Streamlit</w:t>
            </w:r>
            <w:proofErr w:type="spellEnd"/>
            <w:r>
              <w:rPr>
                <w:sz w:val="19"/>
                <w:szCs w:val="19"/>
              </w:rPr>
              <w:t xml:space="preserve"> (or React) console</w:t>
            </w:r>
          </w:p>
        </w:tc>
        <w:tc>
          <w:tcPr>
            <w:tcW w:w="366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3DA34517" w14:textId="77777777" w:rsidR="00E20411" w:rsidRDefault="00000000">
            <w:pPr>
              <w:spacing w:after="40"/>
            </w:pPr>
            <w:r>
              <w:rPr>
                <w:sz w:val="19"/>
                <w:szCs w:val="19"/>
              </w:rPr>
              <w:t>The demo surface: one slider, one queue, one plain-English risk statement</w:t>
            </w:r>
          </w:p>
        </w:tc>
      </w:tr>
    </w:tbl>
    <w:p w14:paraId="4627DBC4" w14:textId="77777777" w:rsidR="00E20411" w:rsidRDefault="00E20411">
      <w:pPr>
        <w:spacing w:after="200"/>
      </w:pPr>
    </w:p>
    <w:p w14:paraId="0226BC22" w14:textId="77777777" w:rsidR="00E20411" w:rsidRDefault="00000000">
      <w:pPr>
        <w:spacing w:after="160"/>
      </w:pPr>
      <w:r>
        <w:t>Every experiment is a Hydra config, never a command-line flag, and the calibration split is made physically inaccessible to any function whose name begins with fit_ — the discipline that stops the most seductive conformal bug (fitting a learned score on the calibration set) from ever compiling.</w:t>
      </w:r>
    </w:p>
    <w:p w14:paraId="230C143C" w14:textId="77777777" w:rsidR="00E20411" w:rsidRDefault="00000000">
      <w:pPr>
        <w:pStyle w:val="Heading1"/>
        <w:spacing w:before="400" w:after="200"/>
      </w:pPr>
      <w:bookmarkStart w:id="14" w:name="_Toc237730575"/>
      <w:r>
        <w:t>15. Dataset and Resources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56"/>
        <w:gridCol w:w="1355"/>
        <w:gridCol w:w="1598"/>
        <w:gridCol w:w="1551"/>
      </w:tblGrid>
      <w:tr w:rsidR="00E20411" w14:paraId="187D572A" w14:textId="77777777">
        <w:tblPrEx>
          <w:tblCellMar>
            <w:top w:w="0" w:type="dxa"/>
            <w:bottom w:w="0" w:type="dxa"/>
          </w:tblCellMar>
        </w:tblPrEx>
        <w:trPr>
          <w:tblHeader/>
        </w:trPr>
        <w:tc>
          <w:tcPr>
            <w:tcW w:w="1500" w:type="dxa"/>
            <w:tcBorders>
              <w:top w:val="single" w:sz="4" w:space="0" w:color="B9C4D0"/>
              <w:left w:val="single" w:sz="4" w:space="0" w:color="B9C4D0"/>
              <w:bottom w:val="single" w:sz="4" w:space="0" w:color="B9C4D0"/>
              <w:right w:val="single" w:sz="4" w:space="0" w:color="B9C4D0"/>
            </w:tcBorders>
            <w:shd w:val="clear" w:color="auto" w:fill="1F2D50"/>
            <w:tcMar>
              <w:top w:w="100" w:type="dxa"/>
              <w:left w:w="120" w:type="dxa"/>
              <w:bottom w:w="100" w:type="dxa"/>
              <w:right w:w="120" w:type="dxa"/>
            </w:tcMar>
          </w:tcPr>
          <w:p w14:paraId="2170F7E6" w14:textId="77777777" w:rsidR="00E20411" w:rsidRDefault="00000000">
            <w:r>
              <w:rPr>
                <w:b/>
                <w:bCs/>
                <w:color w:val="FFFFFF"/>
                <w:sz w:val="19"/>
                <w:szCs w:val="19"/>
              </w:rPr>
              <w:t>Role</w:t>
            </w:r>
          </w:p>
        </w:tc>
        <w:tc>
          <w:tcPr>
            <w:tcW w:w="2700" w:type="dxa"/>
            <w:tcBorders>
              <w:top w:val="single" w:sz="4" w:space="0" w:color="B9C4D0"/>
              <w:left w:val="single" w:sz="4" w:space="0" w:color="B9C4D0"/>
              <w:bottom w:val="single" w:sz="4" w:space="0" w:color="B9C4D0"/>
              <w:right w:val="single" w:sz="4" w:space="0" w:color="B9C4D0"/>
            </w:tcBorders>
            <w:shd w:val="clear" w:color="auto" w:fill="1F2D50"/>
            <w:tcMar>
              <w:top w:w="100" w:type="dxa"/>
              <w:left w:w="120" w:type="dxa"/>
              <w:bottom w:w="100" w:type="dxa"/>
              <w:right w:w="120" w:type="dxa"/>
            </w:tcMar>
          </w:tcPr>
          <w:p w14:paraId="05E30295" w14:textId="77777777" w:rsidR="00E20411" w:rsidRDefault="00000000">
            <w:r>
              <w:rPr>
                <w:b/>
                <w:bCs/>
                <w:color w:val="FFFFFF"/>
                <w:sz w:val="19"/>
                <w:szCs w:val="19"/>
              </w:rPr>
              <w:t>Source</w:t>
            </w:r>
          </w:p>
        </w:tc>
        <w:tc>
          <w:tcPr>
            <w:tcW w:w="2760" w:type="dxa"/>
            <w:tcBorders>
              <w:top w:val="single" w:sz="4" w:space="0" w:color="B9C4D0"/>
              <w:left w:val="single" w:sz="4" w:space="0" w:color="B9C4D0"/>
              <w:bottom w:val="single" w:sz="4" w:space="0" w:color="B9C4D0"/>
              <w:right w:val="single" w:sz="4" w:space="0" w:color="B9C4D0"/>
            </w:tcBorders>
            <w:shd w:val="clear" w:color="auto" w:fill="1F2D50"/>
            <w:tcMar>
              <w:top w:w="100" w:type="dxa"/>
              <w:left w:w="120" w:type="dxa"/>
              <w:bottom w:w="100" w:type="dxa"/>
              <w:right w:w="120" w:type="dxa"/>
            </w:tcMar>
          </w:tcPr>
          <w:p w14:paraId="70E6C14D" w14:textId="77777777" w:rsidR="00E20411" w:rsidRDefault="00000000">
            <w:r>
              <w:rPr>
                <w:b/>
                <w:bCs/>
                <w:color w:val="FFFFFF"/>
                <w:sz w:val="19"/>
                <w:szCs w:val="19"/>
              </w:rPr>
              <w:t>What It Provides</w:t>
            </w:r>
          </w:p>
        </w:tc>
        <w:tc>
          <w:tcPr>
            <w:tcW w:w="2400" w:type="dxa"/>
            <w:tcBorders>
              <w:top w:val="single" w:sz="4" w:space="0" w:color="B9C4D0"/>
              <w:left w:val="single" w:sz="4" w:space="0" w:color="B9C4D0"/>
              <w:bottom w:val="single" w:sz="4" w:space="0" w:color="B9C4D0"/>
              <w:right w:val="single" w:sz="4" w:space="0" w:color="B9C4D0"/>
            </w:tcBorders>
            <w:shd w:val="clear" w:color="auto" w:fill="1F2D50"/>
            <w:tcMar>
              <w:top w:w="100" w:type="dxa"/>
              <w:left w:w="120" w:type="dxa"/>
              <w:bottom w:w="100" w:type="dxa"/>
              <w:right w:w="120" w:type="dxa"/>
            </w:tcMar>
          </w:tcPr>
          <w:p w14:paraId="5F92A97F" w14:textId="77777777" w:rsidR="00E20411" w:rsidRDefault="00000000">
            <w:r>
              <w:rPr>
                <w:b/>
                <w:bCs/>
                <w:color w:val="FFFFFF"/>
                <w:sz w:val="19"/>
                <w:szCs w:val="19"/>
              </w:rPr>
              <w:t>Action</w:t>
            </w:r>
          </w:p>
        </w:tc>
      </w:tr>
      <w:tr w:rsidR="00E20411" w14:paraId="57AAB63D" w14:textId="77777777">
        <w:tblPrEx>
          <w:tblCellMar>
            <w:top w:w="0" w:type="dxa"/>
            <w:bottom w:w="0" w:type="dxa"/>
          </w:tblCellMar>
        </w:tblPrEx>
        <w:tc>
          <w:tcPr>
            <w:tcW w:w="15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1B859A8F" w14:textId="77777777" w:rsidR="00E20411" w:rsidRDefault="00000000">
            <w:pPr>
              <w:spacing w:after="40"/>
            </w:pPr>
            <w:r>
              <w:rPr>
                <w:sz w:val="19"/>
                <w:szCs w:val="19"/>
              </w:rPr>
              <w:t>Primary</w:t>
            </w:r>
          </w:p>
        </w:tc>
        <w:tc>
          <w:tcPr>
            <w:tcW w:w="27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6F87318B" w14:textId="77777777" w:rsidR="00E20411" w:rsidRDefault="00000000">
            <w:pPr>
              <w:spacing w:after="40"/>
            </w:pPr>
            <w:r>
              <w:rPr>
                <w:sz w:val="19"/>
                <w:szCs w:val="19"/>
              </w:rPr>
              <w:t>CBRI Building Defect Detection (</w:t>
            </w:r>
            <w:proofErr w:type="spellStart"/>
            <w:r>
              <w:rPr>
                <w:sz w:val="19"/>
                <w:szCs w:val="19"/>
              </w:rPr>
              <w:t>Roboflow</w:t>
            </w:r>
            <w:proofErr w:type="spellEnd"/>
            <w:r>
              <w:rPr>
                <w:sz w:val="19"/>
                <w:szCs w:val="19"/>
              </w:rPr>
              <w:t>) — already in hand</w:t>
            </w:r>
          </w:p>
        </w:tc>
        <w:tc>
          <w:tcPr>
            <w:tcW w:w="276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30849A48" w14:textId="77777777" w:rsidR="00E20411" w:rsidRDefault="00000000">
            <w:pPr>
              <w:spacing w:after="40"/>
            </w:pPr>
            <w:r>
              <w:rPr>
                <w:sz w:val="19"/>
                <w:szCs w:val="19"/>
              </w:rPr>
              <w:t>The defect classes and the fine-tuned model already built</w:t>
            </w:r>
          </w:p>
        </w:tc>
        <w:tc>
          <w:tcPr>
            <w:tcW w:w="24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6A1F8E80" w14:textId="77777777" w:rsidR="00E20411" w:rsidRDefault="00000000">
            <w:pPr>
              <w:spacing w:after="40"/>
            </w:pPr>
            <w:r>
              <w:rPr>
                <w:sz w:val="19"/>
                <w:szCs w:val="19"/>
              </w:rPr>
              <w:t>Audit site/camera metadata in Week 1; derive proxy sites from EXIF or feature clustering if absent</w:t>
            </w:r>
          </w:p>
        </w:tc>
      </w:tr>
      <w:tr w:rsidR="00E20411" w14:paraId="4027CEB4" w14:textId="77777777">
        <w:tblPrEx>
          <w:tblCellMar>
            <w:top w:w="0" w:type="dxa"/>
            <w:bottom w:w="0" w:type="dxa"/>
          </w:tblCellMar>
        </w:tblPrEx>
        <w:tc>
          <w:tcPr>
            <w:tcW w:w="150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4B1E3806" w14:textId="77777777" w:rsidR="00E20411" w:rsidRDefault="00000000">
            <w:pPr>
              <w:spacing w:after="40"/>
            </w:pPr>
            <w:r>
              <w:rPr>
                <w:sz w:val="19"/>
                <w:szCs w:val="19"/>
              </w:rPr>
              <w:t>Secondary</w:t>
            </w:r>
          </w:p>
        </w:tc>
        <w:tc>
          <w:tcPr>
            <w:tcW w:w="270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61580D4D" w14:textId="77777777" w:rsidR="00E20411" w:rsidRDefault="00000000">
            <w:pPr>
              <w:spacing w:after="40"/>
            </w:pPr>
            <w:r>
              <w:rPr>
                <w:sz w:val="19"/>
                <w:szCs w:val="19"/>
              </w:rPr>
              <w:t>A second public concrete-crack dataset from a different acquisition source</w:t>
            </w:r>
          </w:p>
        </w:tc>
        <w:tc>
          <w:tcPr>
            <w:tcW w:w="276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0A033BFC" w14:textId="77777777" w:rsidR="00E20411" w:rsidRDefault="00000000">
            <w:pPr>
              <w:spacing w:after="40"/>
            </w:pPr>
            <w:r>
              <w:rPr>
                <w:sz w:val="19"/>
                <w:szCs w:val="19"/>
              </w:rPr>
              <w:t>The genuine distribution shift the shift study depends on</w:t>
            </w:r>
          </w:p>
        </w:tc>
        <w:tc>
          <w:tcPr>
            <w:tcW w:w="240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3920F36F" w14:textId="77777777" w:rsidR="00E20411" w:rsidRDefault="00000000">
            <w:pPr>
              <w:spacing w:after="40"/>
            </w:pPr>
            <w:r>
              <w:rPr>
                <w:sz w:val="19"/>
                <w:szCs w:val="19"/>
              </w:rPr>
              <w:t>Identify and download by end of Week 2 — a hard gate</w:t>
            </w:r>
          </w:p>
        </w:tc>
      </w:tr>
      <w:tr w:rsidR="00E20411" w14:paraId="538EBA8E" w14:textId="77777777">
        <w:tblPrEx>
          <w:tblCellMar>
            <w:top w:w="0" w:type="dxa"/>
            <w:bottom w:w="0" w:type="dxa"/>
          </w:tblCellMar>
        </w:tblPrEx>
        <w:tc>
          <w:tcPr>
            <w:tcW w:w="15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5231A003" w14:textId="77777777" w:rsidR="00E20411" w:rsidRDefault="00000000">
            <w:pPr>
              <w:spacing w:after="40"/>
            </w:pPr>
            <w:r>
              <w:rPr>
                <w:sz w:val="19"/>
                <w:szCs w:val="19"/>
              </w:rPr>
              <w:lastRenderedPageBreak/>
              <w:t>Gold subset</w:t>
            </w:r>
          </w:p>
        </w:tc>
        <w:tc>
          <w:tcPr>
            <w:tcW w:w="27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54D47E03" w14:textId="77777777" w:rsidR="00E20411" w:rsidRDefault="00000000">
            <w:pPr>
              <w:spacing w:after="40"/>
            </w:pPr>
            <w:r>
              <w:rPr>
                <w:sz w:val="19"/>
                <w:szCs w:val="19"/>
              </w:rPr>
              <w:t>300–500 hand-labelled images</w:t>
            </w:r>
          </w:p>
        </w:tc>
        <w:tc>
          <w:tcPr>
            <w:tcW w:w="276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76F31AA5" w14:textId="77777777" w:rsidR="00E20411" w:rsidRDefault="00000000">
            <w:pPr>
              <w:spacing w:after="40"/>
            </w:pPr>
            <w:r>
              <w:rPr>
                <w:sz w:val="19"/>
                <w:szCs w:val="19"/>
              </w:rPr>
              <w:t>The trustworthy calibration anchor for every headline claim</w:t>
            </w:r>
          </w:p>
        </w:tc>
        <w:tc>
          <w:tcPr>
            <w:tcW w:w="24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675218CF" w14:textId="77777777" w:rsidR="00E20411" w:rsidRDefault="00000000">
            <w:pPr>
              <w:spacing w:after="40"/>
            </w:pPr>
            <w:r>
              <w:rPr>
                <w:sz w:val="19"/>
                <w:szCs w:val="19"/>
              </w:rPr>
              <w:t>Label across Weeks 3–6, 60–90 images/week</w:t>
            </w:r>
          </w:p>
        </w:tc>
      </w:tr>
      <w:tr w:rsidR="00E20411" w14:paraId="2F6D02FE" w14:textId="77777777">
        <w:tblPrEx>
          <w:tblCellMar>
            <w:top w:w="0" w:type="dxa"/>
            <w:bottom w:w="0" w:type="dxa"/>
          </w:tblCellMar>
        </w:tblPrEx>
        <w:tc>
          <w:tcPr>
            <w:tcW w:w="150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2597AF02" w14:textId="77777777" w:rsidR="00E20411" w:rsidRDefault="00000000">
            <w:pPr>
              <w:spacing w:after="40"/>
            </w:pPr>
            <w:r>
              <w:rPr>
                <w:sz w:val="19"/>
                <w:szCs w:val="19"/>
              </w:rPr>
              <w:t>Shift probe</w:t>
            </w:r>
          </w:p>
        </w:tc>
        <w:tc>
          <w:tcPr>
            <w:tcW w:w="270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472195E6" w14:textId="77777777" w:rsidR="00E20411" w:rsidRDefault="00000000">
            <w:pPr>
              <w:spacing w:after="40"/>
            </w:pPr>
            <w:r>
              <w:rPr>
                <w:sz w:val="19"/>
                <w:szCs w:val="19"/>
              </w:rPr>
              <w:t>Synthetic corruptions: blur, low light, JPEG artefacts, rain, motion</w:t>
            </w:r>
          </w:p>
        </w:tc>
        <w:tc>
          <w:tcPr>
            <w:tcW w:w="276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6E807EE7" w14:textId="77777777" w:rsidR="00E20411" w:rsidRDefault="00000000">
            <w:pPr>
              <w:spacing w:after="40"/>
            </w:pPr>
            <w:r>
              <w:rPr>
                <w:sz w:val="19"/>
                <w:szCs w:val="19"/>
              </w:rPr>
              <w:t>A controlled shift axis complementing natural site shift</w:t>
            </w:r>
          </w:p>
        </w:tc>
        <w:tc>
          <w:tcPr>
            <w:tcW w:w="240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529168C4" w14:textId="77777777" w:rsidR="00E20411" w:rsidRDefault="00000000">
            <w:pPr>
              <w:spacing w:after="40"/>
            </w:pPr>
            <w:r>
              <w:rPr>
                <w:sz w:val="19"/>
                <w:szCs w:val="19"/>
              </w:rPr>
              <w:t>Generate with ImageNet-C style functions; costs one day</w:t>
            </w:r>
          </w:p>
        </w:tc>
      </w:tr>
      <w:tr w:rsidR="00E20411" w14:paraId="21EFFE17" w14:textId="77777777">
        <w:tblPrEx>
          <w:tblBorders>
            <w:top w:val="single" w:sz="8" w:space="0" w:color="6B7280"/>
            <w:left w:val="single" w:sz="8" w:space="0" w:color="6B7280"/>
            <w:bottom w:val="single" w:sz="8" w:space="0" w:color="6B7280"/>
            <w:right w:val="single" w:sz="8" w:space="0" w:color="6B7280"/>
          </w:tblBorders>
          <w:tblCellMar>
            <w:top w:w="0" w:type="dxa"/>
            <w:bottom w:w="0" w:type="dxa"/>
          </w:tblCellMar>
        </w:tblPrEx>
        <w:trPr>
          <w:gridAfter w:val="3"/>
          <w:wAfter w:w="9255" w:type="dxa"/>
        </w:trPr>
        <w:tc>
          <w:tcPr>
            <w:tcW w:w="0" w:type="auto"/>
            <w:shd w:val="clear" w:color="auto" w:fill="F5F7FA"/>
            <w:tcMar>
              <w:top w:w="160" w:type="dxa"/>
              <w:left w:w="200" w:type="dxa"/>
              <w:bottom w:w="160" w:type="dxa"/>
              <w:right w:w="200" w:type="dxa"/>
            </w:tcMar>
          </w:tcPr>
          <w:p w14:paraId="0418914F" w14:textId="77777777" w:rsidR="00E20411" w:rsidRDefault="00000000">
            <w:pPr>
              <w:spacing w:after="90"/>
            </w:pPr>
            <w:r>
              <w:rPr>
                <w:b/>
                <w:bCs/>
                <w:caps/>
                <w:color w:val="6B7280"/>
                <w:spacing w:val="10"/>
                <w:sz w:val="19"/>
                <w:szCs w:val="19"/>
              </w:rPr>
              <w:t>HONEST DATA NOTE</w:t>
            </w:r>
          </w:p>
          <w:p w14:paraId="3D8B3EAB" w14:textId="77777777" w:rsidR="00E20411" w:rsidRDefault="00000000">
            <w:pPr>
              <w:spacing w:after="80" w:line="264" w:lineRule="auto"/>
            </w:pPr>
            <w:r>
              <w:rPr>
                <w:i/>
                <w:iCs/>
                <w:sz w:val="20"/>
                <w:szCs w:val="20"/>
              </w:rPr>
              <w:t>The existing labels were bootstrapped with GPT-4V. A conformal guarantee calibrated against noisy labels is a guarantee about agreement with GPT-4V, not about missed defects, unless this is confronted directly. Every headline number in the paper is calibrated on the hand-labelled gold subset; bootstrapped labels are training data, never calibration data — and the degradation from using them anyway is reported as a finding, not hidden.</w:t>
            </w:r>
          </w:p>
        </w:tc>
      </w:tr>
    </w:tbl>
    <w:p w14:paraId="0EF37547" w14:textId="77777777" w:rsidR="00E20411" w:rsidRDefault="00000000">
      <w:pPr>
        <w:pStyle w:val="Heading1"/>
        <w:spacing w:before="400" w:after="200"/>
      </w:pPr>
      <w:bookmarkStart w:id="15" w:name="_Toc237730576"/>
      <w:r>
        <w:t>16. Baselines and Evaluation Metrics</w:t>
      </w:r>
      <w:bookmarkEnd w:id="15"/>
    </w:p>
    <w:p w14:paraId="2CE6CBC2" w14:textId="77777777" w:rsidR="00E20411" w:rsidRDefault="00000000">
      <w:pPr>
        <w:pStyle w:val="Heading2"/>
        <w:spacing w:before="300" w:after="150"/>
      </w:pPr>
      <w:bookmarkStart w:id="16" w:name="_Toc237730577"/>
      <w:r>
        <w:t>Baselines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400"/>
        <w:gridCol w:w="5060"/>
      </w:tblGrid>
      <w:tr w:rsidR="00E20411" w14:paraId="7A022368" w14:textId="77777777">
        <w:tblPrEx>
          <w:tblCellMar>
            <w:top w:w="0" w:type="dxa"/>
            <w:bottom w:w="0" w:type="dxa"/>
          </w:tblCellMar>
        </w:tblPrEx>
        <w:trPr>
          <w:tblHeader/>
        </w:trPr>
        <w:tc>
          <w:tcPr>
            <w:tcW w:w="900" w:type="dxa"/>
            <w:tcBorders>
              <w:top w:val="single" w:sz="4" w:space="0" w:color="B9C4D0"/>
              <w:left w:val="single" w:sz="4" w:space="0" w:color="B9C4D0"/>
              <w:bottom w:val="single" w:sz="4" w:space="0" w:color="B9C4D0"/>
              <w:right w:val="single" w:sz="4" w:space="0" w:color="B9C4D0"/>
            </w:tcBorders>
            <w:shd w:val="clear" w:color="auto" w:fill="1F2D50"/>
            <w:tcMar>
              <w:top w:w="100" w:type="dxa"/>
              <w:left w:w="120" w:type="dxa"/>
              <w:bottom w:w="100" w:type="dxa"/>
              <w:right w:w="120" w:type="dxa"/>
            </w:tcMar>
          </w:tcPr>
          <w:p w14:paraId="2D239656" w14:textId="77777777" w:rsidR="00E20411" w:rsidRDefault="00000000">
            <w:r>
              <w:rPr>
                <w:b/>
                <w:bCs/>
                <w:color w:val="FFFFFF"/>
                <w:sz w:val="19"/>
                <w:szCs w:val="19"/>
              </w:rPr>
              <w:t>#</w:t>
            </w:r>
          </w:p>
        </w:tc>
        <w:tc>
          <w:tcPr>
            <w:tcW w:w="3400" w:type="dxa"/>
            <w:tcBorders>
              <w:top w:val="single" w:sz="4" w:space="0" w:color="B9C4D0"/>
              <w:left w:val="single" w:sz="4" w:space="0" w:color="B9C4D0"/>
              <w:bottom w:val="single" w:sz="4" w:space="0" w:color="B9C4D0"/>
              <w:right w:val="single" w:sz="4" w:space="0" w:color="B9C4D0"/>
            </w:tcBorders>
            <w:shd w:val="clear" w:color="auto" w:fill="1F2D50"/>
            <w:tcMar>
              <w:top w:w="100" w:type="dxa"/>
              <w:left w:w="120" w:type="dxa"/>
              <w:bottom w:w="100" w:type="dxa"/>
              <w:right w:w="120" w:type="dxa"/>
            </w:tcMar>
          </w:tcPr>
          <w:p w14:paraId="494B384F" w14:textId="77777777" w:rsidR="00E20411" w:rsidRDefault="00000000">
            <w:r>
              <w:rPr>
                <w:b/>
                <w:bCs/>
                <w:color w:val="FFFFFF"/>
                <w:sz w:val="19"/>
                <w:szCs w:val="19"/>
              </w:rPr>
              <w:t>Baseline</w:t>
            </w:r>
          </w:p>
        </w:tc>
        <w:tc>
          <w:tcPr>
            <w:tcW w:w="5060" w:type="dxa"/>
            <w:tcBorders>
              <w:top w:val="single" w:sz="4" w:space="0" w:color="B9C4D0"/>
              <w:left w:val="single" w:sz="4" w:space="0" w:color="B9C4D0"/>
              <w:bottom w:val="single" w:sz="4" w:space="0" w:color="B9C4D0"/>
              <w:right w:val="single" w:sz="4" w:space="0" w:color="B9C4D0"/>
            </w:tcBorders>
            <w:shd w:val="clear" w:color="auto" w:fill="1F2D50"/>
            <w:tcMar>
              <w:top w:w="100" w:type="dxa"/>
              <w:left w:w="120" w:type="dxa"/>
              <w:bottom w:w="100" w:type="dxa"/>
              <w:right w:w="120" w:type="dxa"/>
            </w:tcMar>
          </w:tcPr>
          <w:p w14:paraId="65BC0B15" w14:textId="77777777" w:rsidR="00E20411" w:rsidRDefault="00000000">
            <w:r>
              <w:rPr>
                <w:b/>
                <w:bCs/>
                <w:color w:val="FFFFFF"/>
                <w:sz w:val="19"/>
                <w:szCs w:val="19"/>
              </w:rPr>
              <w:t>Why It Must Appear</w:t>
            </w:r>
          </w:p>
        </w:tc>
      </w:tr>
      <w:tr w:rsidR="00E20411" w14:paraId="065C817A" w14:textId="77777777">
        <w:tblPrEx>
          <w:tblCellMar>
            <w:top w:w="0" w:type="dxa"/>
            <w:bottom w:w="0" w:type="dxa"/>
          </w:tblCellMar>
        </w:tblPrEx>
        <w:tc>
          <w:tcPr>
            <w:tcW w:w="9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3F153382" w14:textId="77777777" w:rsidR="00E20411" w:rsidRDefault="00000000">
            <w:pPr>
              <w:spacing w:after="40"/>
            </w:pPr>
            <w:r>
              <w:rPr>
                <w:sz w:val="19"/>
                <w:szCs w:val="19"/>
              </w:rPr>
              <w:t>B1</w:t>
            </w:r>
          </w:p>
        </w:tc>
        <w:tc>
          <w:tcPr>
            <w:tcW w:w="34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2B65DD44" w14:textId="77777777" w:rsidR="00E20411" w:rsidRDefault="00000000">
            <w:pPr>
              <w:spacing w:after="40"/>
            </w:pPr>
            <w:r>
              <w:rPr>
                <w:sz w:val="19"/>
                <w:szCs w:val="19"/>
              </w:rPr>
              <w:t xml:space="preserve">Raw </w:t>
            </w:r>
            <w:proofErr w:type="spellStart"/>
            <w:r>
              <w:rPr>
                <w:sz w:val="19"/>
                <w:szCs w:val="19"/>
              </w:rPr>
              <w:t>softmax</w:t>
            </w:r>
            <w:proofErr w:type="spellEnd"/>
            <w:r>
              <w:rPr>
                <w:sz w:val="19"/>
                <w:szCs w:val="19"/>
              </w:rPr>
              <w:t xml:space="preserve"> threshold, no guarantee</w:t>
            </w:r>
          </w:p>
        </w:tc>
        <w:tc>
          <w:tcPr>
            <w:tcW w:w="506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7DE647C6" w14:textId="77777777" w:rsidR="00E20411" w:rsidRDefault="00000000">
            <w:pPr>
              <w:spacing w:after="40"/>
            </w:pPr>
            <w:r>
              <w:rPr>
                <w:sz w:val="19"/>
                <w:szCs w:val="19"/>
              </w:rPr>
              <w:t>The strawman currently deployed everywhere</w:t>
            </w:r>
          </w:p>
        </w:tc>
      </w:tr>
      <w:tr w:rsidR="00E20411" w14:paraId="4100A894" w14:textId="77777777">
        <w:tblPrEx>
          <w:tblCellMar>
            <w:top w:w="0" w:type="dxa"/>
            <w:bottom w:w="0" w:type="dxa"/>
          </w:tblCellMar>
        </w:tblPrEx>
        <w:tc>
          <w:tcPr>
            <w:tcW w:w="90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25DFD341" w14:textId="77777777" w:rsidR="00E20411" w:rsidRDefault="00000000">
            <w:pPr>
              <w:spacing w:after="40"/>
            </w:pPr>
            <w:r>
              <w:rPr>
                <w:sz w:val="19"/>
                <w:szCs w:val="19"/>
              </w:rPr>
              <w:t>B2</w:t>
            </w:r>
          </w:p>
        </w:tc>
        <w:tc>
          <w:tcPr>
            <w:tcW w:w="340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16B8255B" w14:textId="77777777" w:rsidR="00E20411" w:rsidRDefault="00000000">
            <w:pPr>
              <w:spacing w:after="40"/>
            </w:pPr>
            <w:r>
              <w:rPr>
                <w:sz w:val="19"/>
                <w:szCs w:val="19"/>
              </w:rPr>
              <w:t>Temperature scaling + threshold</w:t>
            </w:r>
          </w:p>
        </w:tc>
        <w:tc>
          <w:tcPr>
            <w:tcW w:w="506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317DC523" w14:textId="77777777" w:rsidR="00E20411" w:rsidRDefault="00000000">
            <w:pPr>
              <w:spacing w:after="40"/>
            </w:pPr>
            <w:r>
              <w:rPr>
                <w:sz w:val="19"/>
                <w:szCs w:val="19"/>
              </w:rPr>
              <w:t>The standard calibration fix; still no finite-sample guarantee</w:t>
            </w:r>
          </w:p>
        </w:tc>
      </w:tr>
      <w:tr w:rsidR="00E20411" w14:paraId="68ABEDD4" w14:textId="77777777">
        <w:tblPrEx>
          <w:tblCellMar>
            <w:top w:w="0" w:type="dxa"/>
            <w:bottom w:w="0" w:type="dxa"/>
          </w:tblCellMar>
        </w:tblPrEx>
        <w:tc>
          <w:tcPr>
            <w:tcW w:w="9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51501FF0" w14:textId="77777777" w:rsidR="00E20411" w:rsidRDefault="00000000">
            <w:pPr>
              <w:spacing w:after="40"/>
            </w:pPr>
            <w:r>
              <w:rPr>
                <w:sz w:val="19"/>
                <w:szCs w:val="19"/>
              </w:rPr>
              <w:t>B3</w:t>
            </w:r>
          </w:p>
        </w:tc>
        <w:tc>
          <w:tcPr>
            <w:tcW w:w="34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09E622CB" w14:textId="77777777" w:rsidR="00E20411" w:rsidRDefault="00000000">
            <w:pPr>
              <w:spacing w:after="40"/>
            </w:pPr>
            <w:r>
              <w:rPr>
                <w:sz w:val="19"/>
                <w:szCs w:val="19"/>
              </w:rPr>
              <w:t>Selective classification (</w:t>
            </w:r>
            <w:proofErr w:type="spellStart"/>
            <w:r>
              <w:rPr>
                <w:sz w:val="19"/>
                <w:szCs w:val="19"/>
              </w:rPr>
              <w:t>softmax</w:t>
            </w:r>
            <w:proofErr w:type="spellEnd"/>
            <w:r>
              <w:rPr>
                <w:sz w:val="19"/>
                <w:szCs w:val="19"/>
              </w:rPr>
              <w:t xml:space="preserve"> response)</w:t>
            </w:r>
          </w:p>
        </w:tc>
        <w:tc>
          <w:tcPr>
            <w:tcW w:w="506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5CD168BC" w14:textId="77777777" w:rsidR="00E20411" w:rsidRDefault="00000000">
            <w:pPr>
              <w:spacing w:after="40"/>
            </w:pPr>
            <w:r>
              <w:rPr>
                <w:sz w:val="19"/>
                <w:szCs w:val="19"/>
              </w:rPr>
              <w:t>The closest non-conformal competitor, compared on AURC</w:t>
            </w:r>
          </w:p>
        </w:tc>
      </w:tr>
      <w:tr w:rsidR="00E20411" w14:paraId="462B8B5B" w14:textId="77777777">
        <w:tblPrEx>
          <w:tblCellMar>
            <w:top w:w="0" w:type="dxa"/>
            <w:bottom w:w="0" w:type="dxa"/>
          </w:tblCellMar>
        </w:tblPrEx>
        <w:tc>
          <w:tcPr>
            <w:tcW w:w="90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26CFCFAF" w14:textId="77777777" w:rsidR="00E20411" w:rsidRDefault="00000000">
            <w:pPr>
              <w:spacing w:after="40"/>
            </w:pPr>
            <w:r>
              <w:rPr>
                <w:sz w:val="19"/>
                <w:szCs w:val="19"/>
              </w:rPr>
              <w:t>B4</w:t>
            </w:r>
          </w:p>
        </w:tc>
        <w:tc>
          <w:tcPr>
            <w:tcW w:w="340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0D5F351C" w14:textId="77777777" w:rsidR="00E20411" w:rsidRDefault="00000000">
            <w:pPr>
              <w:spacing w:after="40"/>
            </w:pPr>
            <w:r>
              <w:rPr>
                <w:sz w:val="19"/>
                <w:szCs w:val="19"/>
              </w:rPr>
              <w:t>Deep-ensemble / MC-dropout confidence</w:t>
            </w:r>
          </w:p>
        </w:tc>
        <w:tc>
          <w:tcPr>
            <w:tcW w:w="506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1885200F" w14:textId="77777777" w:rsidR="00E20411" w:rsidRDefault="00000000">
            <w:pPr>
              <w:spacing w:after="40"/>
            </w:pPr>
            <w:r>
              <w:rPr>
                <w:sz w:val="19"/>
                <w:szCs w:val="19"/>
              </w:rPr>
              <w:t>The Bayesian-flavoured alternative — strong, expensive, still unguaranteed</w:t>
            </w:r>
          </w:p>
        </w:tc>
      </w:tr>
      <w:tr w:rsidR="00E20411" w14:paraId="60AFA4EA" w14:textId="77777777">
        <w:tblPrEx>
          <w:tblCellMar>
            <w:top w:w="0" w:type="dxa"/>
            <w:bottom w:w="0" w:type="dxa"/>
          </w:tblCellMar>
        </w:tblPrEx>
        <w:tc>
          <w:tcPr>
            <w:tcW w:w="9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0F8E0CD6" w14:textId="77777777" w:rsidR="00E20411" w:rsidRDefault="00000000">
            <w:pPr>
              <w:spacing w:after="40"/>
            </w:pPr>
            <w:r>
              <w:rPr>
                <w:sz w:val="19"/>
                <w:szCs w:val="19"/>
              </w:rPr>
              <w:t>B5–B7</w:t>
            </w:r>
          </w:p>
        </w:tc>
        <w:tc>
          <w:tcPr>
            <w:tcW w:w="34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578F1AFF" w14:textId="77777777" w:rsidR="00E20411" w:rsidRDefault="00000000">
            <w:pPr>
              <w:spacing w:after="40"/>
            </w:pPr>
            <w:r>
              <w:rPr>
                <w:sz w:val="19"/>
                <w:szCs w:val="19"/>
              </w:rPr>
              <w:t>Split CP with LAC / APS / RAPS</w:t>
            </w:r>
          </w:p>
        </w:tc>
        <w:tc>
          <w:tcPr>
            <w:tcW w:w="506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280B9DC0" w14:textId="77777777" w:rsidR="00E20411" w:rsidRDefault="00000000">
            <w:pPr>
              <w:spacing w:after="40"/>
            </w:pPr>
            <w:r>
              <w:rPr>
                <w:sz w:val="19"/>
                <w:szCs w:val="19"/>
              </w:rPr>
              <w:t>The standard conformal baselines</w:t>
            </w:r>
          </w:p>
        </w:tc>
      </w:tr>
      <w:tr w:rsidR="00E20411" w14:paraId="7E2879E4" w14:textId="77777777">
        <w:tblPrEx>
          <w:tblCellMar>
            <w:top w:w="0" w:type="dxa"/>
            <w:bottom w:w="0" w:type="dxa"/>
          </w:tblCellMar>
        </w:tblPrEx>
        <w:tc>
          <w:tcPr>
            <w:tcW w:w="90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4D56A0DD" w14:textId="77777777" w:rsidR="00E20411" w:rsidRDefault="00000000">
            <w:pPr>
              <w:spacing w:after="40"/>
            </w:pPr>
            <w:r>
              <w:rPr>
                <w:sz w:val="19"/>
                <w:szCs w:val="19"/>
              </w:rPr>
              <w:t>B8</w:t>
            </w:r>
          </w:p>
        </w:tc>
        <w:tc>
          <w:tcPr>
            <w:tcW w:w="340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0F6621CB" w14:textId="77777777" w:rsidR="00E20411" w:rsidRDefault="00000000">
            <w:pPr>
              <w:spacing w:after="40"/>
            </w:pPr>
            <w:r>
              <w:rPr>
                <w:sz w:val="19"/>
                <w:szCs w:val="19"/>
              </w:rPr>
              <w:t>Conformal risk control (primary method)</w:t>
            </w:r>
          </w:p>
        </w:tc>
        <w:tc>
          <w:tcPr>
            <w:tcW w:w="506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5C2B249D" w14:textId="77777777" w:rsidR="00E20411" w:rsidRDefault="00000000">
            <w:pPr>
              <w:spacing w:after="40"/>
            </w:pPr>
            <w:r>
              <w:rPr>
                <w:sz w:val="19"/>
                <w:szCs w:val="19"/>
              </w:rPr>
              <w:t>Handles the asymmetric miss-rate loss directly</w:t>
            </w:r>
          </w:p>
        </w:tc>
      </w:tr>
      <w:tr w:rsidR="00E20411" w14:paraId="1CC3810F" w14:textId="77777777">
        <w:tblPrEx>
          <w:tblCellMar>
            <w:top w:w="0" w:type="dxa"/>
            <w:bottom w:w="0" w:type="dxa"/>
          </w:tblCellMar>
        </w:tblPrEx>
        <w:tc>
          <w:tcPr>
            <w:tcW w:w="9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71D91E61" w14:textId="77777777" w:rsidR="00E20411" w:rsidRDefault="00000000">
            <w:pPr>
              <w:spacing w:after="40"/>
            </w:pPr>
            <w:r>
              <w:rPr>
                <w:sz w:val="19"/>
                <w:szCs w:val="19"/>
              </w:rPr>
              <w:t>B9</w:t>
            </w:r>
          </w:p>
        </w:tc>
        <w:tc>
          <w:tcPr>
            <w:tcW w:w="34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316F6780" w14:textId="77777777" w:rsidR="00E20411" w:rsidRDefault="00000000">
            <w:pPr>
              <w:spacing w:after="40"/>
            </w:pPr>
            <w:r>
              <w:rPr>
                <w:sz w:val="19"/>
                <w:szCs w:val="19"/>
              </w:rPr>
              <w:t>Learn-then-Test (PAC-grade)</w:t>
            </w:r>
          </w:p>
        </w:tc>
        <w:tc>
          <w:tcPr>
            <w:tcW w:w="506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19E26182" w14:textId="77777777" w:rsidR="00E20411" w:rsidRDefault="00000000">
            <w:pPr>
              <w:spacing w:after="40"/>
            </w:pPr>
            <w:r>
              <w:rPr>
                <w:sz w:val="19"/>
                <w:szCs w:val="19"/>
              </w:rPr>
              <w:t>The high-probability statement a regulator would accept</w:t>
            </w:r>
          </w:p>
        </w:tc>
      </w:tr>
      <w:tr w:rsidR="00E20411" w14:paraId="4DC46CD0" w14:textId="77777777">
        <w:tblPrEx>
          <w:tblCellMar>
            <w:top w:w="0" w:type="dxa"/>
            <w:bottom w:w="0" w:type="dxa"/>
          </w:tblCellMar>
        </w:tblPrEx>
        <w:tc>
          <w:tcPr>
            <w:tcW w:w="90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133AE535" w14:textId="77777777" w:rsidR="00E20411" w:rsidRDefault="00000000">
            <w:pPr>
              <w:spacing w:after="40"/>
            </w:pPr>
            <w:r>
              <w:rPr>
                <w:sz w:val="19"/>
                <w:szCs w:val="19"/>
              </w:rPr>
              <w:t>B10</w:t>
            </w:r>
          </w:p>
        </w:tc>
        <w:tc>
          <w:tcPr>
            <w:tcW w:w="340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5577E40A" w14:textId="77777777" w:rsidR="00E20411" w:rsidRDefault="00000000">
            <w:pPr>
              <w:spacing w:after="40"/>
            </w:pPr>
            <w:r>
              <w:rPr>
                <w:sz w:val="19"/>
                <w:szCs w:val="19"/>
              </w:rPr>
              <w:t>Weighted / Mondrian / Localized CP</w:t>
            </w:r>
          </w:p>
        </w:tc>
        <w:tc>
          <w:tcPr>
            <w:tcW w:w="506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73743FE7" w14:textId="77777777" w:rsidR="00E20411" w:rsidRDefault="00000000">
            <w:pPr>
              <w:spacing w:after="40"/>
            </w:pPr>
            <w:r>
              <w:rPr>
                <w:sz w:val="19"/>
                <w:szCs w:val="19"/>
              </w:rPr>
              <w:t>The shift-correction arm</w:t>
            </w:r>
          </w:p>
        </w:tc>
      </w:tr>
      <w:tr w:rsidR="00E20411" w14:paraId="44D13502" w14:textId="77777777">
        <w:tblPrEx>
          <w:tblCellMar>
            <w:top w:w="0" w:type="dxa"/>
            <w:bottom w:w="0" w:type="dxa"/>
          </w:tblCellMar>
        </w:tblPrEx>
        <w:tc>
          <w:tcPr>
            <w:tcW w:w="9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038F56FC" w14:textId="77777777" w:rsidR="00E20411" w:rsidRDefault="00000000">
            <w:pPr>
              <w:spacing w:after="40"/>
            </w:pPr>
            <w:r>
              <w:rPr>
                <w:sz w:val="19"/>
                <w:szCs w:val="19"/>
              </w:rPr>
              <w:lastRenderedPageBreak/>
              <w:t>B11</w:t>
            </w:r>
          </w:p>
        </w:tc>
        <w:tc>
          <w:tcPr>
            <w:tcW w:w="34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2D08B8D8" w14:textId="77777777" w:rsidR="00E20411" w:rsidRDefault="00000000">
            <w:pPr>
              <w:spacing w:after="40"/>
            </w:pPr>
            <w:r>
              <w:rPr>
                <w:sz w:val="19"/>
                <w:szCs w:val="19"/>
              </w:rPr>
              <w:t>Verbalized VLM confidence</w:t>
            </w:r>
          </w:p>
        </w:tc>
        <w:tc>
          <w:tcPr>
            <w:tcW w:w="506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42A81242" w14:textId="77777777" w:rsidR="00E20411" w:rsidRDefault="00000000">
            <w:pPr>
              <w:spacing w:after="40"/>
            </w:pPr>
            <w:r>
              <w:rPr>
                <w:sz w:val="19"/>
                <w:szCs w:val="19"/>
              </w:rPr>
              <w:t>What practitioners actually do with no statistics background — expected to fail, a useful negative result</w:t>
            </w:r>
          </w:p>
        </w:tc>
      </w:tr>
    </w:tbl>
    <w:p w14:paraId="28EB6F0F" w14:textId="77777777" w:rsidR="00E20411" w:rsidRDefault="00E20411">
      <w:pPr>
        <w:spacing w:after="160"/>
      </w:pPr>
    </w:p>
    <w:p w14:paraId="6B106A6A" w14:textId="77777777" w:rsidR="00E20411" w:rsidRDefault="00000000">
      <w:pPr>
        <w:pStyle w:val="Heading2"/>
        <w:spacing w:before="300" w:after="150"/>
      </w:pPr>
      <w:bookmarkStart w:id="17" w:name="_Toc237730578"/>
      <w:r>
        <w:t>Metrics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000"/>
        <w:gridCol w:w="4660"/>
      </w:tblGrid>
      <w:tr w:rsidR="00E20411" w14:paraId="0B22BEBA" w14:textId="77777777">
        <w:tblPrEx>
          <w:tblCellMar>
            <w:top w:w="0" w:type="dxa"/>
            <w:bottom w:w="0" w:type="dxa"/>
          </w:tblCellMar>
        </w:tblPrEx>
        <w:trPr>
          <w:tblHeader/>
        </w:trPr>
        <w:tc>
          <w:tcPr>
            <w:tcW w:w="1700" w:type="dxa"/>
            <w:tcBorders>
              <w:top w:val="single" w:sz="4" w:space="0" w:color="B9C4D0"/>
              <w:left w:val="single" w:sz="4" w:space="0" w:color="B9C4D0"/>
              <w:bottom w:val="single" w:sz="4" w:space="0" w:color="B9C4D0"/>
              <w:right w:val="single" w:sz="4" w:space="0" w:color="B9C4D0"/>
            </w:tcBorders>
            <w:shd w:val="clear" w:color="auto" w:fill="1F2D50"/>
            <w:tcMar>
              <w:top w:w="100" w:type="dxa"/>
              <w:left w:w="120" w:type="dxa"/>
              <w:bottom w:w="100" w:type="dxa"/>
              <w:right w:w="120" w:type="dxa"/>
            </w:tcMar>
          </w:tcPr>
          <w:p w14:paraId="6FCF47C9" w14:textId="77777777" w:rsidR="00E20411" w:rsidRDefault="00000000">
            <w:r>
              <w:rPr>
                <w:b/>
                <w:bCs/>
                <w:color w:val="FFFFFF"/>
                <w:sz w:val="19"/>
                <w:szCs w:val="19"/>
              </w:rPr>
              <w:t>Category</w:t>
            </w:r>
          </w:p>
        </w:tc>
        <w:tc>
          <w:tcPr>
            <w:tcW w:w="3000" w:type="dxa"/>
            <w:tcBorders>
              <w:top w:val="single" w:sz="4" w:space="0" w:color="B9C4D0"/>
              <w:left w:val="single" w:sz="4" w:space="0" w:color="B9C4D0"/>
              <w:bottom w:val="single" w:sz="4" w:space="0" w:color="B9C4D0"/>
              <w:right w:val="single" w:sz="4" w:space="0" w:color="B9C4D0"/>
            </w:tcBorders>
            <w:shd w:val="clear" w:color="auto" w:fill="1F2D50"/>
            <w:tcMar>
              <w:top w:w="100" w:type="dxa"/>
              <w:left w:w="120" w:type="dxa"/>
              <w:bottom w:w="100" w:type="dxa"/>
              <w:right w:w="120" w:type="dxa"/>
            </w:tcMar>
          </w:tcPr>
          <w:p w14:paraId="7E01DDC8" w14:textId="77777777" w:rsidR="00E20411" w:rsidRDefault="00000000">
            <w:r>
              <w:rPr>
                <w:b/>
                <w:bCs/>
                <w:color w:val="FFFFFF"/>
                <w:sz w:val="19"/>
                <w:szCs w:val="19"/>
              </w:rPr>
              <w:t>Metric</w:t>
            </w:r>
          </w:p>
        </w:tc>
        <w:tc>
          <w:tcPr>
            <w:tcW w:w="4660" w:type="dxa"/>
            <w:tcBorders>
              <w:top w:val="single" w:sz="4" w:space="0" w:color="B9C4D0"/>
              <w:left w:val="single" w:sz="4" w:space="0" w:color="B9C4D0"/>
              <w:bottom w:val="single" w:sz="4" w:space="0" w:color="B9C4D0"/>
              <w:right w:val="single" w:sz="4" w:space="0" w:color="B9C4D0"/>
            </w:tcBorders>
            <w:shd w:val="clear" w:color="auto" w:fill="1F2D50"/>
            <w:tcMar>
              <w:top w:w="100" w:type="dxa"/>
              <w:left w:w="120" w:type="dxa"/>
              <w:bottom w:w="100" w:type="dxa"/>
              <w:right w:w="120" w:type="dxa"/>
            </w:tcMar>
          </w:tcPr>
          <w:p w14:paraId="28A633EC" w14:textId="77777777" w:rsidR="00E20411" w:rsidRDefault="00000000">
            <w:r>
              <w:rPr>
                <w:b/>
                <w:bCs/>
                <w:color w:val="FFFFFF"/>
                <w:sz w:val="19"/>
                <w:szCs w:val="19"/>
              </w:rPr>
              <w:t>Definition</w:t>
            </w:r>
          </w:p>
        </w:tc>
      </w:tr>
      <w:tr w:rsidR="00E20411" w14:paraId="2380B873" w14:textId="77777777">
        <w:tblPrEx>
          <w:tblCellMar>
            <w:top w:w="0" w:type="dxa"/>
            <w:bottom w:w="0" w:type="dxa"/>
          </w:tblCellMar>
        </w:tblPrEx>
        <w:tc>
          <w:tcPr>
            <w:tcW w:w="17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4EFB9ED1" w14:textId="77777777" w:rsidR="00E20411" w:rsidRDefault="00000000">
            <w:pPr>
              <w:spacing w:after="40"/>
            </w:pPr>
            <w:r>
              <w:rPr>
                <w:sz w:val="19"/>
                <w:szCs w:val="19"/>
              </w:rPr>
              <w:t>Validity</w:t>
            </w:r>
          </w:p>
        </w:tc>
        <w:tc>
          <w:tcPr>
            <w:tcW w:w="30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26088913" w14:textId="77777777" w:rsidR="00E20411" w:rsidRDefault="00000000">
            <w:pPr>
              <w:spacing w:after="40"/>
            </w:pPr>
            <w:r>
              <w:rPr>
                <w:sz w:val="19"/>
                <w:szCs w:val="19"/>
              </w:rPr>
              <w:t>Empirical marginal coverage</w:t>
            </w:r>
          </w:p>
        </w:tc>
        <w:tc>
          <w:tcPr>
            <w:tcW w:w="466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307F6CE1" w14:textId="77777777" w:rsidR="00E20411" w:rsidRDefault="00000000">
            <w:pPr>
              <w:spacing w:after="40"/>
            </w:pPr>
            <w:r>
              <w:rPr>
                <w:sz w:val="19"/>
                <w:szCs w:val="19"/>
              </w:rPr>
              <w:t>Mean ± SD over 100 seeds against the nominal 1−α line</w:t>
            </w:r>
          </w:p>
        </w:tc>
      </w:tr>
      <w:tr w:rsidR="00E20411" w14:paraId="7E857277" w14:textId="77777777">
        <w:tblPrEx>
          <w:tblCellMar>
            <w:top w:w="0" w:type="dxa"/>
            <w:bottom w:w="0" w:type="dxa"/>
          </w:tblCellMar>
        </w:tblPrEx>
        <w:tc>
          <w:tcPr>
            <w:tcW w:w="170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1C30DCE9" w14:textId="77777777" w:rsidR="00E20411" w:rsidRDefault="00000000">
            <w:pPr>
              <w:spacing w:after="40"/>
            </w:pPr>
            <w:r>
              <w:rPr>
                <w:sz w:val="19"/>
                <w:szCs w:val="19"/>
              </w:rPr>
              <w:t>Risk</w:t>
            </w:r>
          </w:p>
        </w:tc>
        <w:tc>
          <w:tcPr>
            <w:tcW w:w="300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199794EA" w14:textId="77777777" w:rsidR="00E20411" w:rsidRDefault="00000000">
            <w:pPr>
              <w:spacing w:after="40"/>
            </w:pPr>
            <w:r>
              <w:rPr>
                <w:sz w:val="19"/>
                <w:szCs w:val="19"/>
              </w:rPr>
              <w:t>Realised miss rate</w:t>
            </w:r>
          </w:p>
        </w:tc>
        <w:tc>
          <w:tcPr>
            <w:tcW w:w="466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6738864F" w14:textId="77777777" w:rsidR="00E20411" w:rsidRDefault="00000000">
            <w:pPr>
              <w:spacing w:after="40"/>
            </w:pPr>
            <w:r>
              <w:rPr>
                <w:sz w:val="19"/>
                <w:szCs w:val="19"/>
              </w:rPr>
              <w:t>Empirical missed-defect rate at λ̂, must sit at or below ε</w:t>
            </w:r>
          </w:p>
        </w:tc>
      </w:tr>
      <w:tr w:rsidR="00E20411" w14:paraId="7D9FCBA9" w14:textId="77777777">
        <w:tblPrEx>
          <w:tblCellMar>
            <w:top w:w="0" w:type="dxa"/>
            <w:bottom w:w="0" w:type="dxa"/>
          </w:tblCellMar>
        </w:tblPrEx>
        <w:tc>
          <w:tcPr>
            <w:tcW w:w="17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60854367" w14:textId="77777777" w:rsidR="00E20411" w:rsidRDefault="00000000">
            <w:pPr>
              <w:spacing w:after="40"/>
            </w:pPr>
            <w:r>
              <w:rPr>
                <w:sz w:val="19"/>
                <w:szCs w:val="19"/>
              </w:rPr>
              <w:t>Efficiency</w:t>
            </w:r>
          </w:p>
        </w:tc>
        <w:tc>
          <w:tcPr>
            <w:tcW w:w="30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7377B024" w14:textId="77777777" w:rsidR="00E20411" w:rsidRDefault="00000000">
            <w:pPr>
              <w:spacing w:after="40"/>
            </w:pPr>
            <w:r>
              <w:rPr>
                <w:sz w:val="19"/>
                <w:szCs w:val="19"/>
              </w:rPr>
              <w:t>Human-review fraction (HRF)</w:t>
            </w:r>
          </w:p>
        </w:tc>
        <w:tc>
          <w:tcPr>
            <w:tcW w:w="466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51AD3A3B" w14:textId="77777777" w:rsidR="00E20411" w:rsidRDefault="00000000">
            <w:pPr>
              <w:spacing w:after="40"/>
            </w:pPr>
            <w:r>
              <w:rPr>
                <w:sz w:val="19"/>
                <w:szCs w:val="19"/>
              </w:rPr>
              <w:t>(FLAG + ESCALATE) / N — the primary economic output, bootstrap 95% CI</w:t>
            </w:r>
          </w:p>
        </w:tc>
      </w:tr>
      <w:tr w:rsidR="00E20411" w14:paraId="5601D1D3" w14:textId="77777777">
        <w:tblPrEx>
          <w:tblCellMar>
            <w:top w:w="0" w:type="dxa"/>
            <w:bottom w:w="0" w:type="dxa"/>
          </w:tblCellMar>
        </w:tblPrEx>
        <w:tc>
          <w:tcPr>
            <w:tcW w:w="170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7655179D" w14:textId="77777777" w:rsidR="00E20411" w:rsidRDefault="00000000">
            <w:pPr>
              <w:spacing w:after="40"/>
            </w:pPr>
            <w:r>
              <w:rPr>
                <w:sz w:val="19"/>
                <w:szCs w:val="19"/>
              </w:rPr>
              <w:t>Conditional quality</w:t>
            </w:r>
          </w:p>
        </w:tc>
        <w:tc>
          <w:tcPr>
            <w:tcW w:w="300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3977E0BD" w14:textId="77777777" w:rsidR="00E20411" w:rsidRDefault="00000000">
            <w:pPr>
              <w:spacing w:after="40"/>
            </w:pPr>
            <w:r>
              <w:rPr>
                <w:sz w:val="19"/>
                <w:szCs w:val="19"/>
              </w:rPr>
              <w:t>Size-stratified coverage violation (SSCV), class-conditional coverage</w:t>
            </w:r>
          </w:p>
        </w:tc>
        <w:tc>
          <w:tcPr>
            <w:tcW w:w="466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46F5927E" w14:textId="77777777" w:rsidR="00E20411" w:rsidRDefault="00000000">
            <w:pPr>
              <w:spacing w:after="40"/>
            </w:pPr>
            <w:r>
              <w:rPr>
                <w:sz w:val="19"/>
                <w:szCs w:val="19"/>
              </w:rPr>
              <w:t>How badly the marginal guarantee hides conditional failure</w:t>
            </w:r>
          </w:p>
        </w:tc>
      </w:tr>
      <w:tr w:rsidR="00E20411" w14:paraId="00D1F006" w14:textId="77777777">
        <w:tblPrEx>
          <w:tblCellMar>
            <w:top w:w="0" w:type="dxa"/>
            <w:bottom w:w="0" w:type="dxa"/>
          </w:tblCellMar>
        </w:tblPrEx>
        <w:tc>
          <w:tcPr>
            <w:tcW w:w="17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1EDB74A1" w14:textId="77777777" w:rsidR="00E20411" w:rsidRDefault="00000000">
            <w:pPr>
              <w:spacing w:after="40"/>
            </w:pPr>
            <w:r>
              <w:rPr>
                <w:sz w:val="19"/>
                <w:szCs w:val="19"/>
              </w:rPr>
              <w:t>Shift</w:t>
            </w:r>
          </w:p>
        </w:tc>
        <w:tc>
          <w:tcPr>
            <w:tcW w:w="30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64160A52" w14:textId="77777777" w:rsidR="00E20411" w:rsidRDefault="00000000">
            <w:pPr>
              <w:spacing w:after="40"/>
            </w:pPr>
            <w:r>
              <w:rPr>
                <w:sz w:val="19"/>
                <w:szCs w:val="19"/>
              </w:rPr>
              <w:t>Coverage gap under LOSO</w:t>
            </w:r>
          </w:p>
        </w:tc>
        <w:tc>
          <w:tcPr>
            <w:tcW w:w="466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3C96D0B8" w14:textId="77777777" w:rsidR="00E20411" w:rsidRDefault="00000000">
            <w:pPr>
              <w:spacing w:after="40"/>
            </w:pPr>
            <w:r>
              <w:rPr>
                <w:sz w:val="19"/>
                <w:szCs w:val="19"/>
              </w:rPr>
              <w:t>Nominal minus empirical coverage on the held-out site — the headline number of the shift study</w:t>
            </w:r>
          </w:p>
        </w:tc>
      </w:tr>
      <w:tr w:rsidR="00E20411" w14:paraId="3F59115C" w14:textId="77777777">
        <w:tblPrEx>
          <w:tblCellMar>
            <w:top w:w="0" w:type="dxa"/>
            <w:bottom w:w="0" w:type="dxa"/>
          </w:tblCellMar>
        </w:tblPrEx>
        <w:tc>
          <w:tcPr>
            <w:tcW w:w="170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10F1CD1B" w14:textId="77777777" w:rsidR="00E20411" w:rsidRDefault="00000000">
            <w:pPr>
              <w:spacing w:after="40"/>
            </w:pPr>
            <w:r>
              <w:rPr>
                <w:sz w:val="19"/>
                <w:szCs w:val="19"/>
              </w:rPr>
              <w:t>System</w:t>
            </w:r>
          </w:p>
        </w:tc>
        <w:tc>
          <w:tcPr>
            <w:tcW w:w="300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27563DC2" w14:textId="77777777" w:rsidR="00E20411" w:rsidRDefault="00000000">
            <w:pPr>
              <w:spacing w:after="40"/>
            </w:pPr>
            <w:r>
              <w:rPr>
                <w:sz w:val="19"/>
                <w:szCs w:val="19"/>
              </w:rPr>
              <w:t>Latency (p50/p95/p99)</w:t>
            </w:r>
          </w:p>
        </w:tc>
        <w:tc>
          <w:tcPr>
            <w:tcW w:w="466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328BFC41" w14:textId="77777777" w:rsidR="00E20411" w:rsidRDefault="00000000">
            <w:pPr>
              <w:spacing w:after="40"/>
            </w:pPr>
            <w:r>
              <w:rPr>
                <w:sz w:val="19"/>
                <w:szCs w:val="19"/>
              </w:rPr>
              <w:t>End-to-end triage endpoint response time, calibration overhead reported separately</w:t>
            </w:r>
          </w:p>
        </w:tc>
      </w:tr>
    </w:tbl>
    <w:p w14:paraId="56FBBA0B" w14:textId="77777777" w:rsidR="00E20411" w:rsidRDefault="00000000">
      <w:r>
        <w:br w:type="page"/>
      </w:r>
    </w:p>
    <w:p w14:paraId="121D2266" w14:textId="77777777" w:rsidR="00E20411" w:rsidRDefault="00000000">
      <w:pPr>
        <w:pStyle w:val="Heading1"/>
        <w:spacing w:before="400" w:after="200"/>
      </w:pPr>
      <w:bookmarkStart w:id="18" w:name="_Toc237730579"/>
      <w:r>
        <w:lastRenderedPageBreak/>
        <w:t>17. Experimental / Evaluation Protocol</w:t>
      </w:r>
      <w:bookmarkEnd w:id="18"/>
    </w:p>
    <w:p w14:paraId="02BD53D6" w14:textId="77777777" w:rsidR="00E20411" w:rsidRDefault="00000000">
      <w:pPr>
        <w:pStyle w:val="ListParagraph"/>
        <w:numPr>
          <w:ilvl w:val="0"/>
          <w:numId w:val="2"/>
        </w:numPr>
        <w:spacing w:after="100" w:line="270" w:lineRule="auto"/>
      </w:pPr>
      <w:r>
        <w:t>E1 — Validity check: run the 100-seed coverage protocol on exchangeable data and confirm empirical coverage lands on the nominal diagonal within ±2 points before anything else proceeds.</w:t>
      </w:r>
    </w:p>
    <w:p w14:paraId="3445F5BC" w14:textId="77777777" w:rsidR="00E20411" w:rsidRDefault="00000000">
      <w:pPr>
        <w:pStyle w:val="ListParagraph"/>
        <w:numPr>
          <w:ilvl w:val="0"/>
          <w:numId w:val="2"/>
        </w:numPr>
        <w:spacing w:after="100" w:line="270" w:lineRule="auto"/>
      </w:pPr>
      <w:r>
        <w:t>E2 — Score comparison: run all seven nonconformity scores across 100 seeds and identify which yields the tightest risk-controlled triage at fixed risk.</w:t>
      </w:r>
    </w:p>
    <w:p w14:paraId="7AF10197" w14:textId="77777777" w:rsidR="00E20411" w:rsidRDefault="00000000">
      <w:pPr>
        <w:pStyle w:val="ListParagraph"/>
        <w:numPr>
          <w:ilvl w:val="0"/>
          <w:numId w:val="2"/>
        </w:numPr>
        <w:spacing w:after="100" w:line="270" w:lineRule="auto"/>
      </w:pPr>
      <w:r>
        <w:t>E3 — Efficiency curve: sweep ε across at least four risk targets and plot human-review fraction with bootstrap confidence intervals — this is the paper’s centre of gravity.</w:t>
      </w:r>
    </w:p>
    <w:p w14:paraId="0AD6FBF7" w14:textId="77777777" w:rsidR="00E20411" w:rsidRDefault="00000000">
      <w:pPr>
        <w:pStyle w:val="ListParagraph"/>
        <w:numPr>
          <w:ilvl w:val="0"/>
          <w:numId w:val="2"/>
        </w:numPr>
        <w:spacing w:after="100" w:line="270" w:lineRule="auto"/>
      </w:pPr>
      <w:r>
        <w:t>E4 — LOSO shift: calibrate on all sites but one, evaluate on the held-out site, rotate, and report the coverage gap; then run the three shift-correction methods under the identical protocol and report recovered coverage against efficiency cost.</w:t>
      </w:r>
    </w:p>
    <w:p w14:paraId="748CDAD0" w14:textId="77777777" w:rsidR="00E20411" w:rsidRDefault="00000000">
      <w:pPr>
        <w:pStyle w:val="Heading1"/>
        <w:spacing w:before="400" w:after="200"/>
      </w:pPr>
      <w:bookmarkStart w:id="19" w:name="_Toc237730580"/>
      <w:r>
        <w:t>18. Implementation and Technology Stack</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200"/>
        <w:gridCol w:w="4060"/>
      </w:tblGrid>
      <w:tr w:rsidR="00E20411" w14:paraId="3E2886A9" w14:textId="77777777">
        <w:tblPrEx>
          <w:tblCellMar>
            <w:top w:w="0" w:type="dxa"/>
            <w:bottom w:w="0" w:type="dxa"/>
          </w:tblCellMar>
        </w:tblPrEx>
        <w:trPr>
          <w:tblHeader/>
        </w:trPr>
        <w:tc>
          <w:tcPr>
            <w:tcW w:w="2100" w:type="dxa"/>
            <w:tcBorders>
              <w:top w:val="single" w:sz="4" w:space="0" w:color="B9C4D0"/>
              <w:left w:val="single" w:sz="4" w:space="0" w:color="B9C4D0"/>
              <w:bottom w:val="single" w:sz="4" w:space="0" w:color="B9C4D0"/>
              <w:right w:val="single" w:sz="4" w:space="0" w:color="B9C4D0"/>
            </w:tcBorders>
            <w:shd w:val="clear" w:color="auto" w:fill="1F2D50"/>
            <w:tcMar>
              <w:top w:w="100" w:type="dxa"/>
              <w:left w:w="120" w:type="dxa"/>
              <w:bottom w:w="100" w:type="dxa"/>
              <w:right w:w="120" w:type="dxa"/>
            </w:tcMar>
          </w:tcPr>
          <w:p w14:paraId="5AB36495" w14:textId="77777777" w:rsidR="00E20411" w:rsidRDefault="00000000">
            <w:r>
              <w:rPr>
                <w:b/>
                <w:bCs/>
                <w:color w:val="FFFFFF"/>
                <w:sz w:val="19"/>
                <w:szCs w:val="19"/>
              </w:rPr>
              <w:t>Component</w:t>
            </w:r>
          </w:p>
        </w:tc>
        <w:tc>
          <w:tcPr>
            <w:tcW w:w="3200" w:type="dxa"/>
            <w:tcBorders>
              <w:top w:val="single" w:sz="4" w:space="0" w:color="B9C4D0"/>
              <w:left w:val="single" w:sz="4" w:space="0" w:color="B9C4D0"/>
              <w:bottom w:val="single" w:sz="4" w:space="0" w:color="B9C4D0"/>
              <w:right w:val="single" w:sz="4" w:space="0" w:color="B9C4D0"/>
            </w:tcBorders>
            <w:shd w:val="clear" w:color="auto" w:fill="1F2D50"/>
            <w:tcMar>
              <w:top w:w="100" w:type="dxa"/>
              <w:left w:w="120" w:type="dxa"/>
              <w:bottom w:w="100" w:type="dxa"/>
              <w:right w:w="120" w:type="dxa"/>
            </w:tcMar>
          </w:tcPr>
          <w:p w14:paraId="2F268E42" w14:textId="77777777" w:rsidR="00E20411" w:rsidRDefault="00000000">
            <w:r>
              <w:rPr>
                <w:b/>
                <w:bCs/>
                <w:color w:val="FFFFFF"/>
                <w:sz w:val="19"/>
                <w:szCs w:val="19"/>
              </w:rPr>
              <w:t>Technology</w:t>
            </w:r>
          </w:p>
        </w:tc>
        <w:tc>
          <w:tcPr>
            <w:tcW w:w="4060" w:type="dxa"/>
            <w:tcBorders>
              <w:top w:val="single" w:sz="4" w:space="0" w:color="B9C4D0"/>
              <w:left w:val="single" w:sz="4" w:space="0" w:color="B9C4D0"/>
              <w:bottom w:val="single" w:sz="4" w:space="0" w:color="B9C4D0"/>
              <w:right w:val="single" w:sz="4" w:space="0" w:color="B9C4D0"/>
            </w:tcBorders>
            <w:shd w:val="clear" w:color="auto" w:fill="1F2D50"/>
            <w:tcMar>
              <w:top w:w="100" w:type="dxa"/>
              <w:left w:w="120" w:type="dxa"/>
              <w:bottom w:w="100" w:type="dxa"/>
              <w:right w:w="120" w:type="dxa"/>
            </w:tcMar>
          </w:tcPr>
          <w:p w14:paraId="752C438E" w14:textId="77777777" w:rsidR="00E20411" w:rsidRDefault="00000000">
            <w:r>
              <w:rPr>
                <w:b/>
                <w:bCs/>
                <w:color w:val="FFFFFF"/>
                <w:sz w:val="19"/>
                <w:szCs w:val="19"/>
              </w:rPr>
              <w:t>Notes</w:t>
            </w:r>
          </w:p>
        </w:tc>
      </w:tr>
      <w:tr w:rsidR="00E20411" w14:paraId="129EA300" w14:textId="77777777">
        <w:tblPrEx>
          <w:tblCellMar>
            <w:top w:w="0" w:type="dxa"/>
            <w:bottom w:w="0" w:type="dxa"/>
          </w:tblCellMar>
        </w:tblPrEx>
        <w:tc>
          <w:tcPr>
            <w:tcW w:w="21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33C2E6C6" w14:textId="77777777" w:rsidR="00E20411" w:rsidRDefault="00000000">
            <w:pPr>
              <w:spacing w:after="40"/>
            </w:pPr>
            <w:r>
              <w:rPr>
                <w:sz w:val="19"/>
                <w:szCs w:val="19"/>
              </w:rPr>
              <w:t>Core language</w:t>
            </w:r>
          </w:p>
        </w:tc>
        <w:tc>
          <w:tcPr>
            <w:tcW w:w="32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571C0A8D" w14:textId="77777777" w:rsidR="00E20411" w:rsidRDefault="00000000">
            <w:pPr>
              <w:spacing w:after="40"/>
            </w:pPr>
            <w:r>
              <w:rPr>
                <w:sz w:val="19"/>
                <w:szCs w:val="19"/>
              </w:rPr>
              <w:t xml:space="preserve">Python, </w:t>
            </w:r>
            <w:proofErr w:type="spellStart"/>
            <w:r>
              <w:rPr>
                <w:sz w:val="19"/>
                <w:szCs w:val="19"/>
              </w:rPr>
              <w:t>PyTorch</w:t>
            </w:r>
            <w:proofErr w:type="spellEnd"/>
          </w:p>
        </w:tc>
        <w:tc>
          <w:tcPr>
            <w:tcW w:w="406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69CDAE25" w14:textId="77777777" w:rsidR="00E20411" w:rsidRDefault="00000000">
            <w:pPr>
              <w:spacing w:after="40"/>
            </w:pPr>
            <w:r>
              <w:rPr>
                <w:sz w:val="19"/>
                <w:szCs w:val="19"/>
              </w:rPr>
              <w:t>Frozen VLM inference only — no training on the critical path</w:t>
            </w:r>
          </w:p>
        </w:tc>
      </w:tr>
      <w:tr w:rsidR="00E20411" w14:paraId="1C01B37D" w14:textId="77777777">
        <w:tblPrEx>
          <w:tblCellMar>
            <w:top w:w="0" w:type="dxa"/>
            <w:bottom w:w="0" w:type="dxa"/>
          </w:tblCellMar>
        </w:tblPrEx>
        <w:tc>
          <w:tcPr>
            <w:tcW w:w="210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6ADFFD81" w14:textId="77777777" w:rsidR="00E20411" w:rsidRDefault="00000000">
            <w:pPr>
              <w:spacing w:after="40"/>
            </w:pPr>
            <w:r>
              <w:rPr>
                <w:sz w:val="19"/>
                <w:szCs w:val="19"/>
              </w:rPr>
              <w:t>Conformal / experiment config</w:t>
            </w:r>
          </w:p>
        </w:tc>
        <w:tc>
          <w:tcPr>
            <w:tcW w:w="320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2E0D3B25" w14:textId="77777777" w:rsidR="00E20411" w:rsidRDefault="00000000">
            <w:pPr>
              <w:spacing w:after="40"/>
            </w:pPr>
            <w:r>
              <w:rPr>
                <w:sz w:val="19"/>
                <w:szCs w:val="19"/>
              </w:rPr>
              <w:t>Hydra</w:t>
            </w:r>
          </w:p>
        </w:tc>
        <w:tc>
          <w:tcPr>
            <w:tcW w:w="406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4CA2C8E4" w14:textId="77777777" w:rsidR="00E20411" w:rsidRDefault="00000000">
            <w:pPr>
              <w:spacing w:after="40"/>
            </w:pPr>
            <w:r>
              <w:rPr>
                <w:sz w:val="19"/>
                <w:szCs w:val="19"/>
              </w:rPr>
              <w:t>Every experiment is a config, never a command-line flag</w:t>
            </w:r>
          </w:p>
        </w:tc>
      </w:tr>
      <w:tr w:rsidR="00E20411" w14:paraId="7837A1F4" w14:textId="77777777">
        <w:tblPrEx>
          <w:tblCellMar>
            <w:top w:w="0" w:type="dxa"/>
            <w:bottom w:w="0" w:type="dxa"/>
          </w:tblCellMar>
        </w:tblPrEx>
        <w:tc>
          <w:tcPr>
            <w:tcW w:w="21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084F8207" w14:textId="77777777" w:rsidR="00E20411" w:rsidRDefault="00000000">
            <w:pPr>
              <w:spacing w:after="40"/>
            </w:pPr>
            <w:r>
              <w:rPr>
                <w:sz w:val="19"/>
                <w:szCs w:val="19"/>
              </w:rPr>
              <w:t>Database</w:t>
            </w:r>
          </w:p>
        </w:tc>
        <w:tc>
          <w:tcPr>
            <w:tcW w:w="32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6D3C022F" w14:textId="77777777" w:rsidR="00E20411" w:rsidRDefault="00000000">
            <w:pPr>
              <w:spacing w:after="40"/>
            </w:pPr>
            <w:r>
              <w:rPr>
                <w:sz w:val="19"/>
                <w:szCs w:val="19"/>
              </w:rPr>
              <w:t>SQLite</w:t>
            </w:r>
          </w:p>
        </w:tc>
        <w:tc>
          <w:tcPr>
            <w:tcW w:w="406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322CB565" w14:textId="77777777" w:rsidR="00E20411" w:rsidRDefault="00000000">
            <w:pPr>
              <w:spacing w:after="40"/>
            </w:pPr>
            <w:r>
              <w:rPr>
                <w:sz w:val="19"/>
                <w:szCs w:val="19"/>
              </w:rPr>
              <w:t>Sufficient at this scale — no concurrency, no need for Postgres</w:t>
            </w:r>
          </w:p>
        </w:tc>
      </w:tr>
      <w:tr w:rsidR="00E20411" w14:paraId="3D6EFEDF" w14:textId="77777777">
        <w:tblPrEx>
          <w:tblCellMar>
            <w:top w:w="0" w:type="dxa"/>
            <w:bottom w:w="0" w:type="dxa"/>
          </w:tblCellMar>
        </w:tblPrEx>
        <w:tc>
          <w:tcPr>
            <w:tcW w:w="210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094D0BAC" w14:textId="77777777" w:rsidR="00E20411" w:rsidRDefault="00000000">
            <w:pPr>
              <w:spacing w:after="40"/>
            </w:pPr>
            <w:r>
              <w:rPr>
                <w:sz w:val="19"/>
                <w:szCs w:val="19"/>
              </w:rPr>
              <w:t>Data &amp; model versioning</w:t>
            </w:r>
          </w:p>
        </w:tc>
        <w:tc>
          <w:tcPr>
            <w:tcW w:w="320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6BC58D0A" w14:textId="77777777" w:rsidR="00E20411" w:rsidRDefault="00000000">
            <w:pPr>
              <w:spacing w:after="40"/>
            </w:pPr>
            <w:r>
              <w:rPr>
                <w:sz w:val="19"/>
                <w:szCs w:val="19"/>
              </w:rPr>
              <w:t>DVC + Git</w:t>
            </w:r>
          </w:p>
        </w:tc>
        <w:tc>
          <w:tcPr>
            <w:tcW w:w="406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14C0A462" w14:textId="77777777" w:rsidR="00E20411" w:rsidRDefault="00000000">
            <w:pPr>
              <w:spacing w:after="40"/>
            </w:pPr>
            <w:r>
              <w:rPr>
                <w:sz w:val="19"/>
                <w:szCs w:val="19"/>
              </w:rPr>
              <w:t>Git holds pointers only; no data blobs in version control</w:t>
            </w:r>
          </w:p>
        </w:tc>
      </w:tr>
      <w:tr w:rsidR="00E20411" w14:paraId="6B2C9066" w14:textId="77777777">
        <w:tblPrEx>
          <w:tblCellMar>
            <w:top w:w="0" w:type="dxa"/>
            <w:bottom w:w="0" w:type="dxa"/>
          </w:tblCellMar>
        </w:tblPrEx>
        <w:tc>
          <w:tcPr>
            <w:tcW w:w="21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66347E7C" w14:textId="77777777" w:rsidR="00E20411" w:rsidRDefault="00000000">
            <w:pPr>
              <w:spacing w:after="40"/>
            </w:pPr>
            <w:r>
              <w:rPr>
                <w:sz w:val="19"/>
                <w:szCs w:val="19"/>
              </w:rPr>
              <w:t>Experiment tracking</w:t>
            </w:r>
          </w:p>
        </w:tc>
        <w:tc>
          <w:tcPr>
            <w:tcW w:w="32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06E55436" w14:textId="77777777" w:rsidR="00E20411" w:rsidRDefault="00000000">
            <w:pPr>
              <w:spacing w:after="40"/>
            </w:pPr>
            <w:r>
              <w:rPr>
                <w:sz w:val="19"/>
                <w:szCs w:val="19"/>
              </w:rPr>
              <w:t>Weights &amp; Biases (academic tier)</w:t>
            </w:r>
          </w:p>
        </w:tc>
        <w:tc>
          <w:tcPr>
            <w:tcW w:w="406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26DC4415" w14:textId="77777777" w:rsidR="00E20411" w:rsidRDefault="00000000">
            <w:pPr>
              <w:spacing w:after="40"/>
            </w:pPr>
            <w:r>
              <w:rPr>
                <w:sz w:val="19"/>
                <w:szCs w:val="19"/>
              </w:rPr>
              <w:t xml:space="preserve">Every run logs config, split hash, model version, score id, </w:t>
            </w:r>
            <w:proofErr w:type="spellStart"/>
            <w:r>
              <w:rPr>
                <w:sz w:val="19"/>
                <w:szCs w:val="19"/>
              </w:rPr>
              <w:t>n_cal</w:t>
            </w:r>
            <w:proofErr w:type="spellEnd"/>
            <w:r>
              <w:rPr>
                <w:sz w:val="19"/>
                <w:szCs w:val="19"/>
              </w:rPr>
              <w:t xml:space="preserve">, </w:t>
            </w:r>
            <w:proofErr w:type="spellStart"/>
            <w:r>
              <w:rPr>
                <w:sz w:val="19"/>
                <w:szCs w:val="19"/>
              </w:rPr>
              <w:t>n_pos</w:t>
            </w:r>
            <w:proofErr w:type="spellEnd"/>
            <w:r>
              <w:rPr>
                <w:sz w:val="19"/>
                <w:szCs w:val="19"/>
              </w:rPr>
              <w:t>, seed</w:t>
            </w:r>
          </w:p>
        </w:tc>
      </w:tr>
      <w:tr w:rsidR="00E20411" w14:paraId="458B36C2" w14:textId="77777777">
        <w:tblPrEx>
          <w:tblCellMar>
            <w:top w:w="0" w:type="dxa"/>
            <w:bottom w:w="0" w:type="dxa"/>
          </w:tblCellMar>
        </w:tblPrEx>
        <w:tc>
          <w:tcPr>
            <w:tcW w:w="210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27AC90CB" w14:textId="77777777" w:rsidR="00E20411" w:rsidRDefault="00000000">
            <w:pPr>
              <w:spacing w:after="40"/>
            </w:pPr>
            <w:r>
              <w:rPr>
                <w:sz w:val="19"/>
                <w:szCs w:val="19"/>
              </w:rPr>
              <w:t>Service</w:t>
            </w:r>
          </w:p>
        </w:tc>
        <w:tc>
          <w:tcPr>
            <w:tcW w:w="320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223B796A" w14:textId="77777777" w:rsidR="00E20411" w:rsidRDefault="00000000">
            <w:pPr>
              <w:spacing w:after="40"/>
            </w:pPr>
            <w:proofErr w:type="spellStart"/>
            <w:r>
              <w:rPr>
                <w:sz w:val="19"/>
                <w:szCs w:val="19"/>
              </w:rPr>
              <w:t>FastAPI</w:t>
            </w:r>
            <w:proofErr w:type="spellEnd"/>
          </w:p>
        </w:tc>
        <w:tc>
          <w:tcPr>
            <w:tcW w:w="406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5EAD9DCA" w14:textId="77777777" w:rsidR="00E20411" w:rsidRDefault="00000000">
            <w:pPr>
              <w:spacing w:after="40"/>
            </w:pPr>
            <w:r>
              <w:rPr>
                <w:sz w:val="19"/>
                <w:szCs w:val="19"/>
              </w:rPr>
              <w:t>The /v1/inspect, /v1/calibration, /v1/feedback, /v1/audit, /v1/metrics contract</w:t>
            </w:r>
          </w:p>
        </w:tc>
      </w:tr>
      <w:tr w:rsidR="00E20411" w14:paraId="65A249D1" w14:textId="77777777">
        <w:tblPrEx>
          <w:tblCellMar>
            <w:top w:w="0" w:type="dxa"/>
            <w:bottom w:w="0" w:type="dxa"/>
          </w:tblCellMar>
        </w:tblPrEx>
        <w:tc>
          <w:tcPr>
            <w:tcW w:w="21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08C08B4B" w14:textId="77777777" w:rsidR="00E20411" w:rsidRDefault="00000000">
            <w:pPr>
              <w:spacing w:after="40"/>
            </w:pPr>
            <w:r>
              <w:rPr>
                <w:sz w:val="19"/>
                <w:szCs w:val="19"/>
              </w:rPr>
              <w:t>Console</w:t>
            </w:r>
          </w:p>
        </w:tc>
        <w:tc>
          <w:tcPr>
            <w:tcW w:w="32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5DAC756A" w14:textId="77777777" w:rsidR="00E20411" w:rsidRDefault="00000000">
            <w:pPr>
              <w:spacing w:after="40"/>
            </w:pPr>
            <w:proofErr w:type="spellStart"/>
            <w:r>
              <w:rPr>
                <w:sz w:val="19"/>
                <w:szCs w:val="19"/>
              </w:rPr>
              <w:t>Streamlit</w:t>
            </w:r>
            <w:proofErr w:type="spellEnd"/>
            <w:r>
              <w:rPr>
                <w:sz w:val="19"/>
                <w:szCs w:val="19"/>
              </w:rPr>
              <w:t xml:space="preserve"> (React optional stretch)</w:t>
            </w:r>
          </w:p>
        </w:tc>
        <w:tc>
          <w:tcPr>
            <w:tcW w:w="406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3C21540D" w14:textId="77777777" w:rsidR="00E20411" w:rsidRDefault="00000000">
            <w:pPr>
              <w:spacing w:after="40"/>
            </w:pPr>
            <w:r>
              <w:rPr>
                <w:sz w:val="19"/>
                <w:szCs w:val="19"/>
              </w:rPr>
              <w:t>One screen, one slider — the whole demo</w:t>
            </w:r>
          </w:p>
        </w:tc>
      </w:tr>
      <w:tr w:rsidR="00E20411" w14:paraId="6DB64D0C" w14:textId="77777777">
        <w:tblPrEx>
          <w:tblCellMar>
            <w:top w:w="0" w:type="dxa"/>
            <w:bottom w:w="0" w:type="dxa"/>
          </w:tblCellMar>
        </w:tblPrEx>
        <w:tc>
          <w:tcPr>
            <w:tcW w:w="210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1DF6C1A0" w14:textId="77777777" w:rsidR="00E20411" w:rsidRDefault="00000000">
            <w:pPr>
              <w:spacing w:after="40"/>
            </w:pPr>
            <w:r>
              <w:rPr>
                <w:sz w:val="19"/>
                <w:szCs w:val="19"/>
              </w:rPr>
              <w:t>CI</w:t>
            </w:r>
          </w:p>
        </w:tc>
        <w:tc>
          <w:tcPr>
            <w:tcW w:w="320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1E6EE3C7" w14:textId="77777777" w:rsidR="00E20411" w:rsidRDefault="00000000">
            <w:pPr>
              <w:spacing w:after="40"/>
            </w:pPr>
            <w:r>
              <w:rPr>
                <w:sz w:val="19"/>
                <w:szCs w:val="19"/>
              </w:rPr>
              <w:t xml:space="preserve">GitHub Actions: ruff, </w:t>
            </w:r>
            <w:proofErr w:type="spellStart"/>
            <w:r>
              <w:rPr>
                <w:sz w:val="19"/>
                <w:szCs w:val="19"/>
              </w:rPr>
              <w:t>mypy</w:t>
            </w:r>
            <w:proofErr w:type="spellEnd"/>
            <w:r>
              <w:rPr>
                <w:sz w:val="19"/>
                <w:szCs w:val="19"/>
              </w:rPr>
              <w:t xml:space="preserve">, </w:t>
            </w:r>
            <w:proofErr w:type="spellStart"/>
            <w:r>
              <w:rPr>
                <w:sz w:val="19"/>
                <w:szCs w:val="19"/>
              </w:rPr>
              <w:t>pytest</w:t>
            </w:r>
            <w:proofErr w:type="spellEnd"/>
            <w:r>
              <w:rPr>
                <w:sz w:val="19"/>
                <w:szCs w:val="19"/>
              </w:rPr>
              <w:t xml:space="preserve">, </w:t>
            </w:r>
            <w:proofErr w:type="spellStart"/>
            <w:r>
              <w:rPr>
                <w:sz w:val="19"/>
                <w:szCs w:val="19"/>
              </w:rPr>
              <w:t>nbstripout</w:t>
            </w:r>
            <w:proofErr w:type="spellEnd"/>
          </w:p>
        </w:tc>
        <w:tc>
          <w:tcPr>
            <w:tcW w:w="406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1F251C2A" w14:textId="77777777" w:rsidR="00E20411" w:rsidRDefault="00000000">
            <w:pPr>
              <w:spacing w:after="40"/>
            </w:pPr>
            <w:r>
              <w:rPr>
                <w:sz w:val="19"/>
                <w:szCs w:val="19"/>
              </w:rPr>
              <w:t>The validity property test runs on every push</w:t>
            </w:r>
          </w:p>
        </w:tc>
      </w:tr>
      <w:tr w:rsidR="00E20411" w14:paraId="2E80252F" w14:textId="77777777">
        <w:tblPrEx>
          <w:tblCellMar>
            <w:top w:w="0" w:type="dxa"/>
            <w:bottom w:w="0" w:type="dxa"/>
          </w:tblCellMar>
        </w:tblPrEx>
        <w:tc>
          <w:tcPr>
            <w:tcW w:w="21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05B6C4BE" w14:textId="77777777" w:rsidR="00E20411" w:rsidRDefault="00000000">
            <w:pPr>
              <w:spacing w:after="40"/>
            </w:pPr>
            <w:r>
              <w:rPr>
                <w:sz w:val="19"/>
                <w:szCs w:val="19"/>
              </w:rPr>
              <w:t>Release</w:t>
            </w:r>
          </w:p>
        </w:tc>
        <w:tc>
          <w:tcPr>
            <w:tcW w:w="32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4FA65868" w14:textId="77777777" w:rsidR="00E20411" w:rsidRDefault="00000000">
            <w:pPr>
              <w:spacing w:after="40"/>
            </w:pPr>
            <w:proofErr w:type="spellStart"/>
            <w:r>
              <w:rPr>
                <w:sz w:val="19"/>
                <w:szCs w:val="19"/>
              </w:rPr>
              <w:t>arXiv</w:t>
            </w:r>
            <w:proofErr w:type="spellEnd"/>
            <w:r>
              <w:rPr>
                <w:sz w:val="19"/>
                <w:szCs w:val="19"/>
              </w:rPr>
              <w:t xml:space="preserve"> (cs.CV, cross-list stat.ML), </w:t>
            </w:r>
            <w:proofErr w:type="spellStart"/>
            <w:r>
              <w:rPr>
                <w:sz w:val="19"/>
                <w:szCs w:val="19"/>
              </w:rPr>
              <w:t>Zenodo</w:t>
            </w:r>
            <w:proofErr w:type="spellEnd"/>
            <w:r>
              <w:rPr>
                <w:sz w:val="19"/>
                <w:szCs w:val="19"/>
              </w:rPr>
              <w:t xml:space="preserve"> DOI</w:t>
            </w:r>
          </w:p>
        </w:tc>
        <w:tc>
          <w:tcPr>
            <w:tcW w:w="406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3B9A6E24" w14:textId="77777777" w:rsidR="00E20411" w:rsidRDefault="00000000">
            <w:pPr>
              <w:spacing w:after="40"/>
            </w:pPr>
            <w:r>
              <w:rPr>
                <w:sz w:val="19"/>
                <w:szCs w:val="19"/>
              </w:rPr>
              <w:t>The preprint and the calibration benchmark, both citable</w:t>
            </w:r>
          </w:p>
        </w:tc>
      </w:tr>
    </w:tbl>
    <w:p w14:paraId="051F4835" w14:textId="77777777" w:rsidR="00E20411" w:rsidRDefault="00000000">
      <w:pPr>
        <w:pStyle w:val="Heading1"/>
        <w:spacing w:before="400" w:after="200"/>
      </w:pPr>
      <w:bookmarkStart w:id="20" w:name="_Toc237730581"/>
      <w:r>
        <w:t>19. 18-Week Work Plan (Summary)</w:t>
      </w:r>
      <w:bookmarkEnd w:id="20"/>
    </w:p>
    <w:p w14:paraId="1C21BB59" w14:textId="77777777" w:rsidR="00E20411" w:rsidRDefault="00000000">
      <w:pPr>
        <w:spacing w:after="160"/>
      </w:pPr>
      <w:r>
        <w:t>Full week-by-week detail, gates, and review evidence live in the companion document, "Certus — 18-Week Work Plan." The table below is the compact phase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300"/>
        <w:gridCol w:w="2660"/>
      </w:tblGrid>
      <w:tr w:rsidR="00E20411" w14:paraId="2C6882C3" w14:textId="77777777">
        <w:tblPrEx>
          <w:tblCellMar>
            <w:top w:w="0" w:type="dxa"/>
            <w:bottom w:w="0" w:type="dxa"/>
          </w:tblCellMar>
        </w:tblPrEx>
        <w:trPr>
          <w:tblHeader/>
        </w:trPr>
        <w:tc>
          <w:tcPr>
            <w:tcW w:w="1400" w:type="dxa"/>
            <w:tcBorders>
              <w:top w:val="single" w:sz="4" w:space="0" w:color="B9C4D0"/>
              <w:left w:val="single" w:sz="4" w:space="0" w:color="B9C4D0"/>
              <w:bottom w:val="single" w:sz="4" w:space="0" w:color="B9C4D0"/>
              <w:right w:val="single" w:sz="4" w:space="0" w:color="B9C4D0"/>
            </w:tcBorders>
            <w:shd w:val="clear" w:color="auto" w:fill="1F2D50"/>
            <w:tcMar>
              <w:top w:w="100" w:type="dxa"/>
              <w:left w:w="120" w:type="dxa"/>
              <w:bottom w:w="100" w:type="dxa"/>
              <w:right w:w="120" w:type="dxa"/>
            </w:tcMar>
          </w:tcPr>
          <w:p w14:paraId="551D119C" w14:textId="77777777" w:rsidR="00E20411" w:rsidRDefault="00000000">
            <w:r>
              <w:rPr>
                <w:b/>
                <w:bCs/>
                <w:color w:val="FFFFFF"/>
                <w:sz w:val="19"/>
                <w:szCs w:val="19"/>
              </w:rPr>
              <w:lastRenderedPageBreak/>
              <w:t>Weeks</w:t>
            </w:r>
          </w:p>
        </w:tc>
        <w:tc>
          <w:tcPr>
            <w:tcW w:w="5300" w:type="dxa"/>
            <w:tcBorders>
              <w:top w:val="single" w:sz="4" w:space="0" w:color="B9C4D0"/>
              <w:left w:val="single" w:sz="4" w:space="0" w:color="B9C4D0"/>
              <w:bottom w:val="single" w:sz="4" w:space="0" w:color="B9C4D0"/>
              <w:right w:val="single" w:sz="4" w:space="0" w:color="B9C4D0"/>
            </w:tcBorders>
            <w:shd w:val="clear" w:color="auto" w:fill="1F2D50"/>
            <w:tcMar>
              <w:top w:w="100" w:type="dxa"/>
              <w:left w:w="120" w:type="dxa"/>
              <w:bottom w:w="100" w:type="dxa"/>
              <w:right w:w="120" w:type="dxa"/>
            </w:tcMar>
          </w:tcPr>
          <w:p w14:paraId="57396410" w14:textId="77777777" w:rsidR="00E20411" w:rsidRDefault="00000000">
            <w:r>
              <w:rPr>
                <w:b/>
                <w:bCs/>
                <w:color w:val="FFFFFF"/>
                <w:sz w:val="19"/>
                <w:szCs w:val="19"/>
              </w:rPr>
              <w:t>Phase</w:t>
            </w:r>
          </w:p>
        </w:tc>
        <w:tc>
          <w:tcPr>
            <w:tcW w:w="2660" w:type="dxa"/>
            <w:tcBorders>
              <w:top w:val="single" w:sz="4" w:space="0" w:color="B9C4D0"/>
              <w:left w:val="single" w:sz="4" w:space="0" w:color="B9C4D0"/>
              <w:bottom w:val="single" w:sz="4" w:space="0" w:color="B9C4D0"/>
              <w:right w:val="single" w:sz="4" w:space="0" w:color="B9C4D0"/>
            </w:tcBorders>
            <w:shd w:val="clear" w:color="auto" w:fill="1F2D50"/>
            <w:tcMar>
              <w:top w:w="100" w:type="dxa"/>
              <w:left w:w="120" w:type="dxa"/>
              <w:bottom w:w="100" w:type="dxa"/>
              <w:right w:w="120" w:type="dxa"/>
            </w:tcMar>
          </w:tcPr>
          <w:p w14:paraId="4FC0A436" w14:textId="77777777" w:rsidR="00E20411" w:rsidRDefault="00000000">
            <w:r>
              <w:rPr>
                <w:b/>
                <w:bCs/>
                <w:color w:val="FFFFFF"/>
                <w:sz w:val="19"/>
                <w:szCs w:val="19"/>
              </w:rPr>
              <w:t>Milestone / Gate</w:t>
            </w:r>
          </w:p>
        </w:tc>
      </w:tr>
      <w:tr w:rsidR="00E20411" w14:paraId="61DD0CEF" w14:textId="77777777">
        <w:tblPrEx>
          <w:tblCellMar>
            <w:top w:w="0" w:type="dxa"/>
            <w:bottom w:w="0" w:type="dxa"/>
          </w:tblCellMar>
        </w:tblPrEx>
        <w:tc>
          <w:tcPr>
            <w:tcW w:w="14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406D2FD5" w14:textId="77777777" w:rsidR="00E20411" w:rsidRDefault="00000000">
            <w:pPr>
              <w:spacing w:after="40"/>
            </w:pPr>
            <w:r>
              <w:rPr>
                <w:sz w:val="19"/>
                <w:szCs w:val="19"/>
              </w:rPr>
              <w:t>1–2</w:t>
            </w:r>
          </w:p>
        </w:tc>
        <w:tc>
          <w:tcPr>
            <w:tcW w:w="53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37D0D2AD" w14:textId="77777777" w:rsidR="00E20411" w:rsidRDefault="00000000">
            <w:pPr>
              <w:spacing w:after="40"/>
            </w:pPr>
            <w:r>
              <w:rPr>
                <w:sz w:val="19"/>
                <w:szCs w:val="19"/>
              </w:rPr>
              <w:t>Foundation — data audit, shift verification, scope lock</w:t>
            </w:r>
          </w:p>
        </w:tc>
        <w:tc>
          <w:tcPr>
            <w:tcW w:w="266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612EF796" w14:textId="77777777" w:rsidR="00E20411" w:rsidRDefault="00000000">
            <w:pPr>
              <w:spacing w:after="40"/>
            </w:pPr>
            <w:r>
              <w:rPr>
                <w:sz w:val="19"/>
                <w:szCs w:val="19"/>
              </w:rPr>
              <w:t xml:space="preserve">Hard gate at Week 2: </w:t>
            </w:r>
            <w:proofErr w:type="spellStart"/>
            <w:r>
              <w:rPr>
                <w:sz w:val="19"/>
                <w:szCs w:val="19"/>
              </w:rPr>
              <w:t>n_pos</w:t>
            </w:r>
            <w:proofErr w:type="spellEnd"/>
            <w:r>
              <w:rPr>
                <w:sz w:val="19"/>
                <w:szCs w:val="19"/>
              </w:rPr>
              <w:t xml:space="preserve"> and shift viability</w:t>
            </w:r>
          </w:p>
        </w:tc>
      </w:tr>
      <w:tr w:rsidR="00E20411" w14:paraId="3000FA28" w14:textId="77777777">
        <w:tblPrEx>
          <w:tblCellMar>
            <w:top w:w="0" w:type="dxa"/>
            <w:bottom w:w="0" w:type="dxa"/>
          </w:tblCellMar>
        </w:tblPrEx>
        <w:tc>
          <w:tcPr>
            <w:tcW w:w="140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784605B0" w14:textId="77777777" w:rsidR="00E20411" w:rsidRDefault="00000000">
            <w:pPr>
              <w:spacing w:after="40"/>
            </w:pPr>
            <w:r>
              <w:rPr>
                <w:sz w:val="19"/>
                <w:szCs w:val="19"/>
              </w:rPr>
              <w:t>3–5</w:t>
            </w:r>
          </w:p>
        </w:tc>
        <w:tc>
          <w:tcPr>
            <w:tcW w:w="530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31551B1D" w14:textId="77777777" w:rsidR="00E20411" w:rsidRDefault="00000000">
            <w:pPr>
              <w:spacing w:after="40"/>
            </w:pPr>
            <w:r>
              <w:rPr>
                <w:sz w:val="19"/>
                <w:szCs w:val="19"/>
              </w:rPr>
              <w:t>Conformal core — quantile, property test, split CP</w:t>
            </w:r>
          </w:p>
        </w:tc>
        <w:tc>
          <w:tcPr>
            <w:tcW w:w="266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28FDE9D9" w14:textId="77777777" w:rsidR="00E20411" w:rsidRDefault="00000000">
            <w:pPr>
              <w:spacing w:after="40"/>
            </w:pPr>
            <w:r>
              <w:rPr>
                <w:sz w:val="19"/>
                <w:szCs w:val="19"/>
              </w:rPr>
              <w:t>Gate at Week 5: F2 must land on the diagonal</w:t>
            </w:r>
          </w:p>
        </w:tc>
      </w:tr>
      <w:tr w:rsidR="00E20411" w14:paraId="5B57AA42" w14:textId="77777777">
        <w:tblPrEx>
          <w:tblCellMar>
            <w:top w:w="0" w:type="dxa"/>
            <w:bottom w:w="0" w:type="dxa"/>
          </w:tblCellMar>
        </w:tblPrEx>
        <w:tc>
          <w:tcPr>
            <w:tcW w:w="14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30899F95" w14:textId="77777777" w:rsidR="00E20411" w:rsidRDefault="00000000">
            <w:pPr>
              <w:spacing w:after="40"/>
            </w:pPr>
            <w:r>
              <w:rPr>
                <w:sz w:val="19"/>
                <w:szCs w:val="19"/>
              </w:rPr>
              <w:t>6–8</w:t>
            </w:r>
          </w:p>
        </w:tc>
        <w:tc>
          <w:tcPr>
            <w:tcW w:w="53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2ABBE2CF" w14:textId="77777777" w:rsidR="00E20411" w:rsidRDefault="00000000">
            <w:pPr>
              <w:spacing w:after="40"/>
            </w:pPr>
            <w:r>
              <w:rPr>
                <w:sz w:val="19"/>
                <w:szCs w:val="19"/>
              </w:rPr>
              <w:t>Scores &amp; risk control — CRC, LTT, label-noise study</w:t>
            </w:r>
          </w:p>
        </w:tc>
        <w:tc>
          <w:tcPr>
            <w:tcW w:w="266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04F8E436" w14:textId="77777777" w:rsidR="00E20411" w:rsidRDefault="00000000">
            <w:pPr>
              <w:spacing w:after="40"/>
            </w:pPr>
            <w:r>
              <w:rPr>
                <w:sz w:val="19"/>
                <w:szCs w:val="19"/>
              </w:rPr>
              <w:t>Gate 1 at Week 8: F3 exists, half the paper is real</w:t>
            </w:r>
          </w:p>
        </w:tc>
      </w:tr>
      <w:tr w:rsidR="00E20411" w14:paraId="7E7D3345" w14:textId="77777777">
        <w:tblPrEx>
          <w:tblCellMar>
            <w:top w:w="0" w:type="dxa"/>
            <w:bottom w:w="0" w:type="dxa"/>
          </w:tblCellMar>
        </w:tblPrEx>
        <w:tc>
          <w:tcPr>
            <w:tcW w:w="140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4D2B7A1F" w14:textId="77777777" w:rsidR="00E20411" w:rsidRDefault="00000000">
            <w:pPr>
              <w:spacing w:after="40"/>
            </w:pPr>
            <w:r>
              <w:rPr>
                <w:sz w:val="19"/>
                <w:szCs w:val="19"/>
              </w:rPr>
              <w:t>9–12</w:t>
            </w:r>
          </w:p>
        </w:tc>
        <w:tc>
          <w:tcPr>
            <w:tcW w:w="530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17F8D06E" w14:textId="77777777" w:rsidR="00E20411" w:rsidRDefault="00000000">
            <w:pPr>
              <w:spacing w:after="40"/>
            </w:pPr>
            <w:r>
              <w:rPr>
                <w:sz w:val="19"/>
                <w:szCs w:val="19"/>
              </w:rPr>
              <w:t>Shift — the research: efficiency curve, LOSO, corrections</w:t>
            </w:r>
          </w:p>
        </w:tc>
        <w:tc>
          <w:tcPr>
            <w:tcW w:w="266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3F60C548" w14:textId="77777777" w:rsidR="00E20411" w:rsidRDefault="00000000">
            <w:pPr>
              <w:spacing w:after="40"/>
            </w:pPr>
            <w:r>
              <w:rPr>
                <w:sz w:val="19"/>
                <w:szCs w:val="19"/>
              </w:rPr>
              <w:t>Gate at Week 12: pivot check on the shift result</w:t>
            </w:r>
          </w:p>
        </w:tc>
      </w:tr>
      <w:tr w:rsidR="00E20411" w14:paraId="22123C4A" w14:textId="77777777">
        <w:tblPrEx>
          <w:tblCellMar>
            <w:top w:w="0" w:type="dxa"/>
            <w:bottom w:w="0" w:type="dxa"/>
          </w:tblCellMar>
        </w:tblPrEx>
        <w:tc>
          <w:tcPr>
            <w:tcW w:w="14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2424CF49" w14:textId="77777777" w:rsidR="00E20411" w:rsidRDefault="00000000">
            <w:pPr>
              <w:spacing w:after="40"/>
            </w:pPr>
            <w:r>
              <w:rPr>
                <w:sz w:val="19"/>
                <w:szCs w:val="19"/>
              </w:rPr>
              <w:t>13–14</w:t>
            </w:r>
          </w:p>
        </w:tc>
        <w:tc>
          <w:tcPr>
            <w:tcW w:w="53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3330E8AE" w14:textId="77777777" w:rsidR="00E20411" w:rsidRDefault="00000000">
            <w:pPr>
              <w:spacing w:after="40"/>
            </w:pPr>
            <w:r>
              <w:rPr>
                <w:sz w:val="19"/>
                <w:szCs w:val="19"/>
              </w:rPr>
              <w:t>Product &amp; remaining figures — service, console, F6–F9</w:t>
            </w:r>
          </w:p>
        </w:tc>
        <w:tc>
          <w:tcPr>
            <w:tcW w:w="266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765B27C9" w14:textId="77777777" w:rsidR="00E20411" w:rsidRDefault="00000000">
            <w:pPr>
              <w:spacing w:after="40"/>
            </w:pPr>
            <w:r>
              <w:rPr>
                <w:sz w:val="19"/>
                <w:szCs w:val="19"/>
              </w:rPr>
              <w:t>—</w:t>
            </w:r>
          </w:p>
        </w:tc>
      </w:tr>
      <w:tr w:rsidR="00E20411" w14:paraId="3B2FABE1" w14:textId="77777777">
        <w:tblPrEx>
          <w:tblCellMar>
            <w:top w:w="0" w:type="dxa"/>
            <w:bottom w:w="0" w:type="dxa"/>
          </w:tblCellMar>
        </w:tblPrEx>
        <w:tc>
          <w:tcPr>
            <w:tcW w:w="140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309F9682" w14:textId="77777777" w:rsidR="00E20411" w:rsidRDefault="00000000">
            <w:pPr>
              <w:spacing w:after="40"/>
            </w:pPr>
            <w:r>
              <w:rPr>
                <w:sz w:val="19"/>
                <w:szCs w:val="19"/>
              </w:rPr>
              <w:t>15–16</w:t>
            </w:r>
          </w:p>
        </w:tc>
        <w:tc>
          <w:tcPr>
            <w:tcW w:w="530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755DD8D5" w14:textId="77777777" w:rsidR="00E20411" w:rsidRDefault="00000000">
            <w:pPr>
              <w:spacing w:after="40"/>
            </w:pPr>
            <w:r>
              <w:rPr>
                <w:sz w:val="19"/>
                <w:szCs w:val="19"/>
              </w:rPr>
              <w:t>Paper &amp; release — write, cut, ship</w:t>
            </w:r>
          </w:p>
        </w:tc>
        <w:tc>
          <w:tcPr>
            <w:tcW w:w="266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2C545AE4" w14:textId="77777777" w:rsidR="00E20411" w:rsidRDefault="00000000">
            <w:pPr>
              <w:spacing w:after="40"/>
            </w:pPr>
            <w:r>
              <w:rPr>
                <w:sz w:val="19"/>
                <w:szCs w:val="19"/>
              </w:rPr>
              <w:t xml:space="preserve">Gate 2 at Week 16: </w:t>
            </w:r>
            <w:proofErr w:type="spellStart"/>
            <w:r>
              <w:rPr>
                <w:sz w:val="19"/>
                <w:szCs w:val="19"/>
              </w:rPr>
              <w:t>arXiv</w:t>
            </w:r>
            <w:proofErr w:type="spellEnd"/>
            <w:r>
              <w:rPr>
                <w:sz w:val="19"/>
                <w:szCs w:val="19"/>
              </w:rPr>
              <w:t xml:space="preserve"> preprint public</w:t>
            </w:r>
          </w:p>
        </w:tc>
      </w:tr>
      <w:tr w:rsidR="00E20411" w14:paraId="1D2E182C" w14:textId="77777777">
        <w:tblPrEx>
          <w:tblCellMar>
            <w:top w:w="0" w:type="dxa"/>
            <w:bottom w:w="0" w:type="dxa"/>
          </w:tblCellMar>
        </w:tblPrEx>
        <w:tc>
          <w:tcPr>
            <w:tcW w:w="14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2EE1A26B" w14:textId="77777777" w:rsidR="00E20411" w:rsidRDefault="00000000">
            <w:pPr>
              <w:spacing w:after="40"/>
            </w:pPr>
            <w:r>
              <w:rPr>
                <w:sz w:val="19"/>
                <w:szCs w:val="19"/>
              </w:rPr>
              <w:t>17–18</w:t>
            </w:r>
          </w:p>
        </w:tc>
        <w:tc>
          <w:tcPr>
            <w:tcW w:w="53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2120A7E2" w14:textId="77777777" w:rsidR="00E20411" w:rsidRDefault="00000000">
            <w:pPr>
              <w:spacing w:after="40"/>
            </w:pPr>
            <w:r>
              <w:rPr>
                <w:sz w:val="19"/>
                <w:szCs w:val="19"/>
              </w:rPr>
              <w:t>Buffer &amp; outreach — video, applications, submissions</w:t>
            </w:r>
          </w:p>
        </w:tc>
        <w:tc>
          <w:tcPr>
            <w:tcW w:w="266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7CD547BD" w14:textId="77777777" w:rsidR="00E20411" w:rsidRDefault="00000000">
            <w:pPr>
              <w:spacing w:after="40"/>
            </w:pPr>
            <w:r>
              <w:rPr>
                <w:sz w:val="19"/>
                <w:szCs w:val="19"/>
              </w:rPr>
              <w:t>Project closed</w:t>
            </w:r>
          </w:p>
        </w:tc>
      </w:tr>
    </w:tbl>
    <w:p w14:paraId="0C6202DD" w14:textId="77777777" w:rsidR="00E20411" w:rsidRDefault="00000000">
      <w:pPr>
        <w:pStyle w:val="Heading1"/>
        <w:spacing w:before="400" w:after="200"/>
      </w:pPr>
      <w:bookmarkStart w:id="21" w:name="_Toc237730582"/>
      <w:r>
        <w:t>20. Risk Assessment and Mitigation</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1100"/>
        <w:gridCol w:w="3200"/>
        <w:gridCol w:w="2300"/>
      </w:tblGrid>
      <w:tr w:rsidR="00E20411" w14:paraId="5BA5BA12" w14:textId="77777777">
        <w:tblPrEx>
          <w:tblCellMar>
            <w:top w:w="0" w:type="dxa"/>
            <w:bottom w:w="0" w:type="dxa"/>
          </w:tblCellMar>
        </w:tblPrEx>
        <w:trPr>
          <w:tblHeader/>
        </w:trPr>
        <w:tc>
          <w:tcPr>
            <w:tcW w:w="2760" w:type="dxa"/>
            <w:tcBorders>
              <w:top w:val="single" w:sz="4" w:space="0" w:color="B9C4D0"/>
              <w:left w:val="single" w:sz="4" w:space="0" w:color="B9C4D0"/>
              <w:bottom w:val="single" w:sz="4" w:space="0" w:color="B9C4D0"/>
              <w:right w:val="single" w:sz="4" w:space="0" w:color="B9C4D0"/>
            </w:tcBorders>
            <w:shd w:val="clear" w:color="auto" w:fill="1F2D50"/>
            <w:tcMar>
              <w:top w:w="100" w:type="dxa"/>
              <w:left w:w="120" w:type="dxa"/>
              <w:bottom w:w="100" w:type="dxa"/>
              <w:right w:w="120" w:type="dxa"/>
            </w:tcMar>
          </w:tcPr>
          <w:p w14:paraId="27149893" w14:textId="77777777" w:rsidR="00E20411" w:rsidRDefault="00000000">
            <w:r>
              <w:rPr>
                <w:b/>
                <w:bCs/>
                <w:color w:val="FFFFFF"/>
                <w:sz w:val="19"/>
                <w:szCs w:val="19"/>
              </w:rPr>
              <w:t>Risk</w:t>
            </w:r>
          </w:p>
        </w:tc>
        <w:tc>
          <w:tcPr>
            <w:tcW w:w="1100" w:type="dxa"/>
            <w:tcBorders>
              <w:top w:val="single" w:sz="4" w:space="0" w:color="B9C4D0"/>
              <w:left w:val="single" w:sz="4" w:space="0" w:color="B9C4D0"/>
              <w:bottom w:val="single" w:sz="4" w:space="0" w:color="B9C4D0"/>
              <w:right w:val="single" w:sz="4" w:space="0" w:color="B9C4D0"/>
            </w:tcBorders>
            <w:shd w:val="clear" w:color="auto" w:fill="1F2D50"/>
            <w:tcMar>
              <w:top w:w="100" w:type="dxa"/>
              <w:left w:w="120" w:type="dxa"/>
              <w:bottom w:w="100" w:type="dxa"/>
              <w:right w:w="120" w:type="dxa"/>
            </w:tcMar>
          </w:tcPr>
          <w:p w14:paraId="5C2E1365" w14:textId="77777777" w:rsidR="00E20411" w:rsidRDefault="00000000">
            <w:r>
              <w:rPr>
                <w:b/>
                <w:bCs/>
                <w:color w:val="FFFFFF"/>
                <w:sz w:val="19"/>
                <w:szCs w:val="19"/>
              </w:rPr>
              <w:t>Impact</w:t>
            </w:r>
          </w:p>
        </w:tc>
        <w:tc>
          <w:tcPr>
            <w:tcW w:w="3200" w:type="dxa"/>
            <w:tcBorders>
              <w:top w:val="single" w:sz="4" w:space="0" w:color="B9C4D0"/>
              <w:left w:val="single" w:sz="4" w:space="0" w:color="B9C4D0"/>
              <w:bottom w:val="single" w:sz="4" w:space="0" w:color="B9C4D0"/>
              <w:right w:val="single" w:sz="4" w:space="0" w:color="B9C4D0"/>
            </w:tcBorders>
            <w:shd w:val="clear" w:color="auto" w:fill="1F2D50"/>
            <w:tcMar>
              <w:top w:w="100" w:type="dxa"/>
              <w:left w:w="120" w:type="dxa"/>
              <w:bottom w:w="100" w:type="dxa"/>
              <w:right w:w="120" w:type="dxa"/>
            </w:tcMar>
          </w:tcPr>
          <w:p w14:paraId="6EAAFB48" w14:textId="77777777" w:rsidR="00E20411" w:rsidRDefault="00000000">
            <w:r>
              <w:rPr>
                <w:b/>
                <w:bCs/>
                <w:color w:val="FFFFFF"/>
                <w:sz w:val="19"/>
                <w:szCs w:val="19"/>
              </w:rPr>
              <w:t>Mitigation</w:t>
            </w:r>
          </w:p>
        </w:tc>
        <w:tc>
          <w:tcPr>
            <w:tcW w:w="2300" w:type="dxa"/>
            <w:tcBorders>
              <w:top w:val="single" w:sz="4" w:space="0" w:color="B9C4D0"/>
              <w:left w:val="single" w:sz="4" w:space="0" w:color="B9C4D0"/>
              <w:bottom w:val="single" w:sz="4" w:space="0" w:color="B9C4D0"/>
              <w:right w:val="single" w:sz="4" w:space="0" w:color="B9C4D0"/>
            </w:tcBorders>
            <w:shd w:val="clear" w:color="auto" w:fill="1F2D50"/>
            <w:tcMar>
              <w:top w:w="100" w:type="dxa"/>
              <w:left w:w="120" w:type="dxa"/>
              <w:bottom w:w="100" w:type="dxa"/>
              <w:right w:w="120" w:type="dxa"/>
            </w:tcMar>
          </w:tcPr>
          <w:p w14:paraId="3076E115" w14:textId="77777777" w:rsidR="00E20411" w:rsidRDefault="00000000">
            <w:r>
              <w:rPr>
                <w:b/>
                <w:bCs/>
                <w:color w:val="FFFFFF"/>
                <w:sz w:val="19"/>
                <w:szCs w:val="19"/>
              </w:rPr>
              <w:t>Early Warning</w:t>
            </w:r>
          </w:p>
        </w:tc>
      </w:tr>
      <w:tr w:rsidR="00E20411" w14:paraId="5F419CFB" w14:textId="77777777">
        <w:tblPrEx>
          <w:tblCellMar>
            <w:top w:w="0" w:type="dxa"/>
            <w:bottom w:w="0" w:type="dxa"/>
          </w:tblCellMar>
        </w:tblPrEx>
        <w:tc>
          <w:tcPr>
            <w:tcW w:w="276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7FE01D67" w14:textId="77777777" w:rsidR="00E20411" w:rsidRDefault="00000000">
            <w:pPr>
              <w:spacing w:after="40"/>
            </w:pPr>
            <w:r>
              <w:rPr>
                <w:sz w:val="19"/>
                <w:szCs w:val="19"/>
              </w:rPr>
              <w:t>Too few defect-positive images to support small ε</w:t>
            </w:r>
          </w:p>
        </w:tc>
        <w:tc>
          <w:tcPr>
            <w:tcW w:w="11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53D4E297" w14:textId="77777777" w:rsidR="00E20411" w:rsidRDefault="00000000">
            <w:pPr>
              <w:spacing w:after="40"/>
            </w:pPr>
            <w:r>
              <w:rPr>
                <w:sz w:val="19"/>
                <w:szCs w:val="19"/>
              </w:rPr>
              <w:t>High</w:t>
            </w:r>
          </w:p>
        </w:tc>
        <w:tc>
          <w:tcPr>
            <w:tcW w:w="32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2905A388" w14:textId="77777777" w:rsidR="00E20411" w:rsidRDefault="00000000">
            <w:pPr>
              <w:spacing w:after="40"/>
            </w:pPr>
            <w:r>
              <w:rPr>
                <w:sz w:val="19"/>
                <w:szCs w:val="19"/>
              </w:rPr>
              <w:t xml:space="preserve">Move to region-level analysis; pool the secondary dataset; report only the ε range </w:t>
            </w:r>
            <w:proofErr w:type="spellStart"/>
            <w:r>
              <w:rPr>
                <w:sz w:val="19"/>
                <w:szCs w:val="19"/>
              </w:rPr>
              <w:t>n_pos</w:t>
            </w:r>
            <w:proofErr w:type="spellEnd"/>
            <w:r>
              <w:rPr>
                <w:sz w:val="19"/>
                <w:szCs w:val="19"/>
              </w:rPr>
              <w:t xml:space="preserve"> supports</w:t>
            </w:r>
          </w:p>
        </w:tc>
        <w:tc>
          <w:tcPr>
            <w:tcW w:w="23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585F68BA" w14:textId="77777777" w:rsidR="00E20411" w:rsidRDefault="00000000">
            <w:pPr>
              <w:spacing w:after="40"/>
            </w:pPr>
            <w:r>
              <w:rPr>
                <w:sz w:val="19"/>
                <w:szCs w:val="19"/>
              </w:rPr>
              <w:t>Week 1 count, known immediately</w:t>
            </w:r>
          </w:p>
        </w:tc>
      </w:tr>
      <w:tr w:rsidR="00E20411" w14:paraId="47AE76AC" w14:textId="77777777">
        <w:tblPrEx>
          <w:tblCellMar>
            <w:top w:w="0" w:type="dxa"/>
            <w:bottom w:w="0" w:type="dxa"/>
          </w:tblCellMar>
        </w:tblPrEx>
        <w:tc>
          <w:tcPr>
            <w:tcW w:w="276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73303B39" w14:textId="77777777" w:rsidR="00E20411" w:rsidRDefault="00000000">
            <w:pPr>
              <w:spacing w:after="40"/>
            </w:pPr>
            <w:r>
              <w:rPr>
                <w:sz w:val="19"/>
                <w:szCs w:val="19"/>
              </w:rPr>
              <w:t>Label noise voids the guarantee</w:t>
            </w:r>
          </w:p>
        </w:tc>
        <w:tc>
          <w:tcPr>
            <w:tcW w:w="110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1C5CE515" w14:textId="77777777" w:rsidR="00E20411" w:rsidRDefault="00000000">
            <w:pPr>
              <w:spacing w:after="40"/>
            </w:pPr>
            <w:r>
              <w:rPr>
                <w:sz w:val="19"/>
                <w:szCs w:val="19"/>
              </w:rPr>
              <w:t>Critical</w:t>
            </w:r>
          </w:p>
        </w:tc>
        <w:tc>
          <w:tcPr>
            <w:tcW w:w="320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32CD1558" w14:textId="77777777" w:rsidR="00E20411" w:rsidRDefault="00000000">
            <w:pPr>
              <w:spacing w:after="40"/>
            </w:pPr>
            <w:r>
              <w:rPr>
                <w:sz w:val="19"/>
                <w:szCs w:val="19"/>
              </w:rPr>
              <w:t>Gold subset of 300+; calibrate on gold only; report the degradation as a finding</w:t>
            </w:r>
          </w:p>
        </w:tc>
        <w:tc>
          <w:tcPr>
            <w:tcW w:w="230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00B8AC16" w14:textId="77777777" w:rsidR="00E20411" w:rsidRDefault="00000000">
            <w:pPr>
              <w:spacing w:after="40"/>
            </w:pPr>
            <w:r>
              <w:rPr>
                <w:sz w:val="19"/>
                <w:szCs w:val="19"/>
              </w:rPr>
              <w:t>κ between GPT-4V and gold below 0.6 by Week 7</w:t>
            </w:r>
          </w:p>
        </w:tc>
      </w:tr>
      <w:tr w:rsidR="00E20411" w14:paraId="1F2B981D" w14:textId="77777777">
        <w:tblPrEx>
          <w:tblCellMar>
            <w:top w:w="0" w:type="dxa"/>
            <w:bottom w:w="0" w:type="dxa"/>
          </w:tblCellMar>
        </w:tblPrEx>
        <w:tc>
          <w:tcPr>
            <w:tcW w:w="276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0B0B848C" w14:textId="77777777" w:rsidR="00E20411" w:rsidRDefault="00000000">
            <w:pPr>
              <w:spacing w:after="40"/>
            </w:pPr>
            <w:r>
              <w:rPr>
                <w:sz w:val="19"/>
                <w:szCs w:val="19"/>
              </w:rPr>
              <w:t>No real shift exists in the data</w:t>
            </w:r>
          </w:p>
        </w:tc>
        <w:tc>
          <w:tcPr>
            <w:tcW w:w="11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53E8A88E" w14:textId="77777777" w:rsidR="00E20411" w:rsidRDefault="00000000">
            <w:pPr>
              <w:spacing w:after="40"/>
            </w:pPr>
            <w:r>
              <w:rPr>
                <w:sz w:val="19"/>
                <w:szCs w:val="19"/>
              </w:rPr>
              <w:t>High</w:t>
            </w:r>
          </w:p>
        </w:tc>
        <w:tc>
          <w:tcPr>
            <w:tcW w:w="32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1F97242F" w14:textId="77777777" w:rsidR="00E20411" w:rsidRDefault="00000000">
            <w:pPr>
              <w:spacing w:after="40"/>
            </w:pPr>
            <w:r>
              <w:rPr>
                <w:sz w:val="19"/>
                <w:szCs w:val="19"/>
              </w:rPr>
              <w:t>Synthetic corruption axis as backup; pivot framing to lead with the score comparison and efficiency curve</w:t>
            </w:r>
          </w:p>
        </w:tc>
        <w:tc>
          <w:tcPr>
            <w:tcW w:w="23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0453D554" w14:textId="77777777" w:rsidR="00E20411" w:rsidRDefault="00000000">
            <w:pPr>
              <w:spacing w:after="40"/>
            </w:pPr>
            <w:r>
              <w:rPr>
                <w:sz w:val="19"/>
                <w:szCs w:val="19"/>
              </w:rPr>
              <w:t>Domain-classifier AUC below 0.65 in Week 2</w:t>
            </w:r>
          </w:p>
        </w:tc>
      </w:tr>
      <w:tr w:rsidR="00E20411" w14:paraId="3C55EDBB" w14:textId="77777777">
        <w:tblPrEx>
          <w:tblCellMar>
            <w:top w:w="0" w:type="dxa"/>
            <w:bottom w:w="0" w:type="dxa"/>
          </w:tblCellMar>
        </w:tblPrEx>
        <w:tc>
          <w:tcPr>
            <w:tcW w:w="276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66774489" w14:textId="77777777" w:rsidR="00E20411" w:rsidRDefault="00000000">
            <w:pPr>
              <w:spacing w:after="40"/>
            </w:pPr>
            <w:r>
              <w:rPr>
                <w:sz w:val="19"/>
                <w:szCs w:val="19"/>
              </w:rPr>
              <w:t>Silent conformal implementation bug</w:t>
            </w:r>
          </w:p>
        </w:tc>
        <w:tc>
          <w:tcPr>
            <w:tcW w:w="110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088D17DC" w14:textId="77777777" w:rsidR="00E20411" w:rsidRDefault="00000000">
            <w:pPr>
              <w:spacing w:after="40"/>
            </w:pPr>
            <w:r>
              <w:rPr>
                <w:sz w:val="19"/>
                <w:szCs w:val="19"/>
              </w:rPr>
              <w:t>Critical</w:t>
            </w:r>
          </w:p>
        </w:tc>
        <w:tc>
          <w:tcPr>
            <w:tcW w:w="320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27D90F77" w14:textId="77777777" w:rsidR="00E20411" w:rsidRDefault="00000000">
            <w:pPr>
              <w:spacing w:after="40"/>
            </w:pPr>
            <w:r>
              <w:rPr>
                <w:sz w:val="19"/>
                <w:szCs w:val="19"/>
              </w:rPr>
              <w:t>Property test in CI from Week 3; F2 as an explicit gate at Week 5</w:t>
            </w:r>
          </w:p>
        </w:tc>
        <w:tc>
          <w:tcPr>
            <w:tcW w:w="230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4D331914" w14:textId="77777777" w:rsidR="00E20411" w:rsidRDefault="00000000">
            <w:pPr>
              <w:spacing w:after="40"/>
            </w:pPr>
            <w:r>
              <w:rPr>
                <w:sz w:val="19"/>
                <w:szCs w:val="19"/>
              </w:rPr>
              <w:t>F2 off the diagonal</w:t>
            </w:r>
          </w:p>
        </w:tc>
      </w:tr>
      <w:tr w:rsidR="00E20411" w14:paraId="1B1FE979" w14:textId="77777777">
        <w:tblPrEx>
          <w:tblCellMar>
            <w:top w:w="0" w:type="dxa"/>
            <w:bottom w:w="0" w:type="dxa"/>
          </w:tblCellMar>
        </w:tblPrEx>
        <w:tc>
          <w:tcPr>
            <w:tcW w:w="276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478DF420" w14:textId="77777777" w:rsidR="00E20411" w:rsidRDefault="00000000">
            <w:pPr>
              <w:spacing w:after="40"/>
            </w:pPr>
            <w:r>
              <w:rPr>
                <w:sz w:val="19"/>
                <w:szCs w:val="19"/>
              </w:rPr>
              <w:t>Placement season consumes Weeks 9–12</w:t>
            </w:r>
          </w:p>
        </w:tc>
        <w:tc>
          <w:tcPr>
            <w:tcW w:w="11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2BDB5D9F" w14:textId="77777777" w:rsidR="00E20411" w:rsidRDefault="00000000">
            <w:pPr>
              <w:spacing w:after="40"/>
            </w:pPr>
            <w:r>
              <w:rPr>
                <w:sz w:val="19"/>
                <w:szCs w:val="19"/>
              </w:rPr>
              <w:t>High</w:t>
            </w:r>
          </w:p>
        </w:tc>
        <w:tc>
          <w:tcPr>
            <w:tcW w:w="32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19A3691E" w14:textId="77777777" w:rsidR="00E20411" w:rsidRDefault="00000000">
            <w:pPr>
              <w:spacing w:after="40"/>
            </w:pPr>
            <w:r>
              <w:rPr>
                <w:sz w:val="19"/>
                <w:szCs w:val="19"/>
              </w:rPr>
              <w:t>Front-load Phase 3; defer all compressible product work</w:t>
            </w:r>
          </w:p>
        </w:tc>
        <w:tc>
          <w:tcPr>
            <w:tcW w:w="23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2D045AE6" w14:textId="77777777" w:rsidR="00E20411" w:rsidRDefault="00000000">
            <w:pPr>
              <w:spacing w:after="40"/>
            </w:pPr>
            <w:r>
              <w:rPr>
                <w:sz w:val="19"/>
                <w:szCs w:val="19"/>
              </w:rPr>
              <w:t>Two consecutive weeks under 8 hours</w:t>
            </w:r>
          </w:p>
        </w:tc>
      </w:tr>
      <w:tr w:rsidR="00E20411" w14:paraId="15ECD7F5" w14:textId="77777777">
        <w:tblPrEx>
          <w:tblCellMar>
            <w:top w:w="0" w:type="dxa"/>
            <w:bottom w:w="0" w:type="dxa"/>
          </w:tblCellMar>
        </w:tblPrEx>
        <w:tc>
          <w:tcPr>
            <w:tcW w:w="276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324C781C" w14:textId="77777777" w:rsidR="00E20411" w:rsidRDefault="00000000">
            <w:pPr>
              <w:spacing w:after="40"/>
            </w:pPr>
            <w:r>
              <w:rPr>
                <w:sz w:val="19"/>
                <w:szCs w:val="19"/>
              </w:rPr>
              <w:t>Solo motivation collapse around Weeks 10–13</w:t>
            </w:r>
          </w:p>
        </w:tc>
        <w:tc>
          <w:tcPr>
            <w:tcW w:w="110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3AA8AA01" w14:textId="77777777" w:rsidR="00E20411" w:rsidRDefault="00000000">
            <w:pPr>
              <w:spacing w:after="40"/>
            </w:pPr>
            <w:r>
              <w:rPr>
                <w:sz w:val="19"/>
                <w:szCs w:val="19"/>
              </w:rPr>
              <w:t>Medium</w:t>
            </w:r>
          </w:p>
        </w:tc>
        <w:tc>
          <w:tcPr>
            <w:tcW w:w="320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738ECE6A" w14:textId="77777777" w:rsidR="00E20411" w:rsidRDefault="00000000">
            <w:pPr>
              <w:spacing w:after="40"/>
            </w:pPr>
            <w:r>
              <w:rPr>
                <w:sz w:val="19"/>
                <w:szCs w:val="19"/>
              </w:rPr>
              <w:t>Ship something visible every fortnight; the Week 14 demo is partly a morale instrument</w:t>
            </w:r>
          </w:p>
        </w:tc>
        <w:tc>
          <w:tcPr>
            <w:tcW w:w="230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4891A17B" w14:textId="77777777" w:rsidR="00E20411" w:rsidRDefault="00000000">
            <w:pPr>
              <w:spacing w:after="40"/>
            </w:pPr>
            <w:r>
              <w:rPr>
                <w:sz w:val="19"/>
                <w:szCs w:val="19"/>
              </w:rPr>
              <w:t>Three consecutive days without a commit</w:t>
            </w:r>
          </w:p>
        </w:tc>
      </w:tr>
    </w:tbl>
    <w:p w14:paraId="3A25978A" w14:textId="77777777" w:rsidR="00E20411" w:rsidRDefault="00000000">
      <w:pPr>
        <w:pStyle w:val="Heading1"/>
        <w:spacing w:before="400" w:after="200"/>
      </w:pPr>
      <w:bookmarkStart w:id="22" w:name="_Toc237730583"/>
      <w:r>
        <w:t>21. Expected Outcomes and Deliverables</w:t>
      </w:r>
      <w:bookmarkEnd w:id="22"/>
    </w:p>
    <w:p w14:paraId="4F335230" w14:textId="77777777" w:rsidR="00E20411" w:rsidRDefault="00000000">
      <w:pPr>
        <w:pStyle w:val="ListParagraph"/>
        <w:numPr>
          <w:ilvl w:val="0"/>
          <w:numId w:val="1"/>
        </w:numPr>
        <w:spacing w:after="90" w:line="270" w:lineRule="auto"/>
      </w:pPr>
      <w:r>
        <w:lastRenderedPageBreak/>
        <w:t>A validated conformal calibration engine: split CP, conformal risk control, and Learn-then-Test, each passing the 100-seed validity property test.</w:t>
      </w:r>
    </w:p>
    <w:p w14:paraId="7EE4D918" w14:textId="77777777" w:rsidR="00E20411" w:rsidRDefault="00000000">
      <w:pPr>
        <w:pStyle w:val="ListParagraph"/>
        <w:numPr>
          <w:ilvl w:val="0"/>
          <w:numId w:val="1"/>
        </w:numPr>
        <w:spacing w:after="90" w:line="270" w:lineRule="auto"/>
      </w:pPr>
      <w:r>
        <w:t>A systematic comparison of seven nonconformity scores, with the efficiency curve (human-review fraction versus guaranteed miss rate) as the centrepiece figure.</w:t>
      </w:r>
    </w:p>
    <w:p w14:paraId="2C696FDF" w14:textId="77777777" w:rsidR="00E20411" w:rsidRDefault="00000000">
      <w:pPr>
        <w:pStyle w:val="ListParagraph"/>
        <w:numPr>
          <w:ilvl w:val="0"/>
          <w:numId w:val="1"/>
        </w:numPr>
        <w:spacing w:after="90" w:line="270" w:lineRule="auto"/>
      </w:pPr>
      <w:r>
        <w:t>A quantified leave-one-site-out shift study, with recovered coverage and efficiency cost reported for at least three correction methods.</w:t>
      </w:r>
    </w:p>
    <w:p w14:paraId="63F5851E" w14:textId="77777777" w:rsidR="00E20411" w:rsidRDefault="00000000">
      <w:pPr>
        <w:pStyle w:val="ListParagraph"/>
        <w:numPr>
          <w:ilvl w:val="0"/>
          <w:numId w:val="1"/>
        </w:numPr>
        <w:spacing w:after="90" w:line="270" w:lineRule="auto"/>
      </w:pPr>
      <w:r>
        <w:t xml:space="preserve">A working </w:t>
      </w:r>
      <w:proofErr w:type="spellStart"/>
      <w:r>
        <w:t>FastAPI</w:t>
      </w:r>
      <w:proofErr w:type="spellEnd"/>
      <w:r>
        <w:t xml:space="preserve"> triage service and a one-screen console, </w:t>
      </w:r>
      <w:proofErr w:type="spellStart"/>
      <w:r>
        <w:t>demoable</w:t>
      </w:r>
      <w:proofErr w:type="spellEnd"/>
      <w:r>
        <w:t xml:space="preserve"> end to end in under 400 </w:t>
      </w:r>
      <w:proofErr w:type="spellStart"/>
      <w:r>
        <w:t>ms</w:t>
      </w:r>
      <w:proofErr w:type="spellEnd"/>
      <w:r>
        <w:t xml:space="preserve"> per image at p95.</w:t>
      </w:r>
    </w:p>
    <w:p w14:paraId="5D00B832" w14:textId="77777777" w:rsidR="00E20411" w:rsidRDefault="00000000">
      <w:pPr>
        <w:pStyle w:val="ListParagraph"/>
        <w:numPr>
          <w:ilvl w:val="0"/>
          <w:numId w:val="1"/>
        </w:numPr>
        <w:spacing w:after="90" w:line="270" w:lineRule="auto"/>
      </w:pPr>
      <w:r>
        <w:t xml:space="preserve">A public </w:t>
      </w:r>
      <w:proofErr w:type="spellStart"/>
      <w:r>
        <w:t>arXiv</w:t>
      </w:r>
      <w:proofErr w:type="spellEnd"/>
      <w:r>
        <w:t xml:space="preserve"> preprint, a reproducible GitHub repository (make figures on a clean clone), and a released, DOI-bearing calibration benchmark.</w:t>
      </w:r>
    </w:p>
    <w:p w14:paraId="7FA7505E" w14:textId="77777777" w:rsidR="00E20411" w:rsidRDefault="00000000">
      <w:pPr>
        <w:pStyle w:val="Heading1"/>
        <w:spacing w:before="400" w:after="200"/>
      </w:pPr>
      <w:bookmarkStart w:id="23" w:name="_Toc237730584"/>
      <w:r>
        <w:t>22. Glossary of Key Terms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20411" w14:paraId="1F920AF5" w14:textId="77777777">
        <w:tblPrEx>
          <w:tblCellMar>
            <w:top w:w="0" w:type="dxa"/>
            <w:bottom w:w="0" w:type="dxa"/>
          </w:tblCellMar>
        </w:tblPrEx>
        <w:trPr>
          <w:tblHeader/>
        </w:trPr>
        <w:tc>
          <w:tcPr>
            <w:tcW w:w="2600" w:type="dxa"/>
            <w:tcBorders>
              <w:top w:val="single" w:sz="4" w:space="0" w:color="B9C4D0"/>
              <w:left w:val="single" w:sz="4" w:space="0" w:color="B9C4D0"/>
              <w:bottom w:val="single" w:sz="4" w:space="0" w:color="B9C4D0"/>
              <w:right w:val="single" w:sz="4" w:space="0" w:color="B9C4D0"/>
            </w:tcBorders>
            <w:shd w:val="clear" w:color="auto" w:fill="1F2D50"/>
            <w:tcMar>
              <w:top w:w="100" w:type="dxa"/>
              <w:left w:w="120" w:type="dxa"/>
              <w:bottom w:w="100" w:type="dxa"/>
              <w:right w:w="120" w:type="dxa"/>
            </w:tcMar>
          </w:tcPr>
          <w:p w14:paraId="50C3302A" w14:textId="77777777" w:rsidR="00E20411" w:rsidRDefault="00000000">
            <w:r>
              <w:rPr>
                <w:b/>
                <w:bCs/>
                <w:color w:val="FFFFFF"/>
                <w:sz w:val="19"/>
                <w:szCs w:val="19"/>
              </w:rPr>
              <w:t>Term</w:t>
            </w:r>
          </w:p>
        </w:tc>
        <w:tc>
          <w:tcPr>
            <w:tcW w:w="6760" w:type="dxa"/>
            <w:tcBorders>
              <w:top w:val="single" w:sz="4" w:space="0" w:color="B9C4D0"/>
              <w:left w:val="single" w:sz="4" w:space="0" w:color="B9C4D0"/>
              <w:bottom w:val="single" w:sz="4" w:space="0" w:color="B9C4D0"/>
              <w:right w:val="single" w:sz="4" w:space="0" w:color="B9C4D0"/>
            </w:tcBorders>
            <w:shd w:val="clear" w:color="auto" w:fill="1F2D50"/>
            <w:tcMar>
              <w:top w:w="100" w:type="dxa"/>
              <w:left w:w="120" w:type="dxa"/>
              <w:bottom w:w="100" w:type="dxa"/>
              <w:right w:w="120" w:type="dxa"/>
            </w:tcMar>
          </w:tcPr>
          <w:p w14:paraId="6B1BAB93" w14:textId="77777777" w:rsidR="00E20411" w:rsidRDefault="00000000">
            <w:r>
              <w:rPr>
                <w:b/>
                <w:bCs/>
                <w:color w:val="FFFFFF"/>
                <w:sz w:val="19"/>
                <w:szCs w:val="19"/>
              </w:rPr>
              <w:t>Meaning in This Project</w:t>
            </w:r>
          </w:p>
        </w:tc>
      </w:tr>
      <w:tr w:rsidR="00E20411" w14:paraId="537F4D96" w14:textId="77777777">
        <w:tblPrEx>
          <w:tblCellMar>
            <w:top w:w="0" w:type="dxa"/>
            <w:bottom w:w="0" w:type="dxa"/>
          </w:tblCellMar>
        </w:tblPrEx>
        <w:tc>
          <w:tcPr>
            <w:tcW w:w="26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40BB29DA" w14:textId="77777777" w:rsidR="00E20411" w:rsidRDefault="00000000">
            <w:pPr>
              <w:spacing w:after="40"/>
            </w:pPr>
            <w:r>
              <w:rPr>
                <w:sz w:val="19"/>
                <w:szCs w:val="19"/>
              </w:rPr>
              <w:t>Exchangeability</w:t>
            </w:r>
          </w:p>
        </w:tc>
        <w:tc>
          <w:tcPr>
            <w:tcW w:w="676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674169A8" w14:textId="77777777" w:rsidR="00E20411" w:rsidRDefault="00000000">
            <w:pPr>
              <w:spacing w:after="40"/>
            </w:pPr>
            <w:r>
              <w:rPr>
                <w:sz w:val="19"/>
                <w:szCs w:val="19"/>
              </w:rPr>
              <w:t>The assumption that calibration and test points are drawn from the same distribution in a way invariant to ordering — the single assumption every conformal guarantee rests on, and the one site-level shift violates.</w:t>
            </w:r>
          </w:p>
        </w:tc>
      </w:tr>
      <w:tr w:rsidR="00E20411" w14:paraId="3AE14A33" w14:textId="77777777">
        <w:tblPrEx>
          <w:tblCellMar>
            <w:top w:w="0" w:type="dxa"/>
            <w:bottom w:w="0" w:type="dxa"/>
          </w:tblCellMar>
        </w:tblPrEx>
        <w:tc>
          <w:tcPr>
            <w:tcW w:w="260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55D0617C" w14:textId="77777777" w:rsidR="00E20411" w:rsidRDefault="00000000">
            <w:pPr>
              <w:spacing w:after="40"/>
            </w:pPr>
            <w:r>
              <w:rPr>
                <w:sz w:val="19"/>
                <w:szCs w:val="19"/>
              </w:rPr>
              <w:t>Nonconformity score</w:t>
            </w:r>
          </w:p>
        </w:tc>
        <w:tc>
          <w:tcPr>
            <w:tcW w:w="676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3638C4C3" w14:textId="77777777" w:rsidR="00E20411" w:rsidRDefault="00000000">
            <w:pPr>
              <w:spacing w:after="40"/>
            </w:pPr>
            <w:r>
              <w:rPr>
                <w:sz w:val="19"/>
                <w:szCs w:val="19"/>
              </w:rPr>
              <w:t>A function s(x, y) where larger means "more surprising given the model"; the choice determines how tight the resulting triage is.</w:t>
            </w:r>
          </w:p>
        </w:tc>
      </w:tr>
      <w:tr w:rsidR="00E20411" w14:paraId="00384688" w14:textId="77777777">
        <w:tblPrEx>
          <w:tblCellMar>
            <w:top w:w="0" w:type="dxa"/>
            <w:bottom w:w="0" w:type="dxa"/>
          </w:tblCellMar>
        </w:tblPrEx>
        <w:tc>
          <w:tcPr>
            <w:tcW w:w="26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6FE86CCD" w14:textId="77777777" w:rsidR="00E20411" w:rsidRDefault="00000000">
            <w:pPr>
              <w:spacing w:after="40"/>
            </w:pPr>
            <w:r>
              <w:rPr>
                <w:sz w:val="19"/>
                <w:szCs w:val="19"/>
              </w:rPr>
              <w:t>Conformal risk control (CRC)</w:t>
            </w:r>
          </w:p>
        </w:tc>
        <w:tc>
          <w:tcPr>
            <w:tcW w:w="676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42A2F25A" w14:textId="77777777" w:rsidR="00E20411" w:rsidRDefault="00000000">
            <w:pPr>
              <w:spacing w:after="40"/>
            </w:pPr>
            <w:r>
              <w:rPr>
                <w:sz w:val="19"/>
                <w:szCs w:val="19"/>
              </w:rPr>
              <w:t>Extension of conformal prediction from coverage to any monotone loss, giving E[L] ≤ ε — the primary method, since the inspection loss is asymmetric.</w:t>
            </w:r>
          </w:p>
        </w:tc>
      </w:tr>
      <w:tr w:rsidR="00E20411" w14:paraId="6E75A4DF" w14:textId="77777777">
        <w:tblPrEx>
          <w:tblCellMar>
            <w:top w:w="0" w:type="dxa"/>
            <w:bottom w:w="0" w:type="dxa"/>
          </w:tblCellMar>
        </w:tblPrEx>
        <w:tc>
          <w:tcPr>
            <w:tcW w:w="260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09F68F19" w14:textId="77777777" w:rsidR="00E20411" w:rsidRDefault="00000000">
            <w:pPr>
              <w:spacing w:after="40"/>
            </w:pPr>
            <w:r>
              <w:rPr>
                <w:sz w:val="19"/>
                <w:szCs w:val="19"/>
              </w:rPr>
              <w:t>Learn-then-Test (LTT)</w:t>
            </w:r>
          </w:p>
        </w:tc>
        <w:tc>
          <w:tcPr>
            <w:tcW w:w="676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52DC74B2" w14:textId="77777777" w:rsidR="00E20411" w:rsidRDefault="00000000">
            <w:pPr>
              <w:spacing w:after="40"/>
            </w:pPr>
            <w:r>
              <w:rPr>
                <w:sz w:val="19"/>
                <w:szCs w:val="19"/>
              </w:rPr>
              <w:t>Risk control via multiple-hypothesis testing, giving P(R ≤ ε) ≥ 1−δ — the stronger, regulator-grade statement.</w:t>
            </w:r>
          </w:p>
        </w:tc>
      </w:tr>
      <w:tr w:rsidR="00E20411" w14:paraId="0EE4C70D" w14:textId="77777777">
        <w:tblPrEx>
          <w:tblCellMar>
            <w:top w:w="0" w:type="dxa"/>
            <w:bottom w:w="0" w:type="dxa"/>
          </w:tblCellMar>
        </w:tblPrEx>
        <w:tc>
          <w:tcPr>
            <w:tcW w:w="26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3242F639" w14:textId="77777777" w:rsidR="00E20411" w:rsidRDefault="00000000">
            <w:pPr>
              <w:spacing w:after="40"/>
            </w:pPr>
            <w:r>
              <w:rPr>
                <w:sz w:val="19"/>
                <w:szCs w:val="19"/>
              </w:rPr>
              <w:t>Human-review fraction (HRF)</w:t>
            </w:r>
          </w:p>
        </w:tc>
        <w:tc>
          <w:tcPr>
            <w:tcW w:w="676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4DECC23F" w14:textId="77777777" w:rsidR="00E20411" w:rsidRDefault="00000000">
            <w:pPr>
              <w:spacing w:after="40"/>
            </w:pPr>
            <w:r>
              <w:rPr>
                <w:sz w:val="19"/>
                <w:szCs w:val="19"/>
              </w:rPr>
              <w:t>The proportion of images routed to a person rather than auto-cleared — the economic output of the entire system.</w:t>
            </w:r>
          </w:p>
        </w:tc>
      </w:tr>
      <w:tr w:rsidR="00E20411" w14:paraId="1DE21985" w14:textId="77777777">
        <w:tblPrEx>
          <w:tblCellMar>
            <w:top w:w="0" w:type="dxa"/>
            <w:bottom w:w="0" w:type="dxa"/>
          </w:tblCellMar>
        </w:tblPrEx>
        <w:tc>
          <w:tcPr>
            <w:tcW w:w="260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79B5013B" w14:textId="77777777" w:rsidR="00E20411" w:rsidRDefault="00000000">
            <w:pPr>
              <w:spacing w:after="40"/>
            </w:pPr>
            <w:r>
              <w:rPr>
                <w:sz w:val="19"/>
                <w:szCs w:val="19"/>
              </w:rPr>
              <w:t>Leave-one-site-out (LOSO)</w:t>
            </w:r>
          </w:p>
        </w:tc>
        <w:tc>
          <w:tcPr>
            <w:tcW w:w="6760" w:type="dxa"/>
            <w:tcBorders>
              <w:top w:val="single" w:sz="4" w:space="0" w:color="B9C4D0"/>
              <w:left w:val="single" w:sz="4" w:space="0" w:color="B9C4D0"/>
              <w:bottom w:val="single" w:sz="4" w:space="0" w:color="B9C4D0"/>
              <w:right w:val="single" w:sz="4" w:space="0" w:color="B9C4D0"/>
            </w:tcBorders>
            <w:shd w:val="clear" w:color="auto" w:fill="F5F7FA"/>
            <w:tcMar>
              <w:top w:w="90" w:type="dxa"/>
              <w:left w:w="120" w:type="dxa"/>
              <w:bottom w:w="90" w:type="dxa"/>
              <w:right w:w="120" w:type="dxa"/>
            </w:tcMar>
          </w:tcPr>
          <w:p w14:paraId="2FFD2786" w14:textId="77777777" w:rsidR="00E20411" w:rsidRDefault="00000000">
            <w:pPr>
              <w:spacing w:after="40"/>
            </w:pPr>
            <w:r>
              <w:rPr>
                <w:sz w:val="19"/>
                <w:szCs w:val="19"/>
              </w:rPr>
              <w:t>Calibrate on all sites but one, evaluate on the held-out site, rotate — the structured shift protocol.</w:t>
            </w:r>
          </w:p>
        </w:tc>
      </w:tr>
      <w:tr w:rsidR="00E20411" w14:paraId="5426A332" w14:textId="77777777">
        <w:tblPrEx>
          <w:tblCellMar>
            <w:top w:w="0" w:type="dxa"/>
            <w:bottom w:w="0" w:type="dxa"/>
          </w:tblCellMar>
        </w:tblPrEx>
        <w:tc>
          <w:tcPr>
            <w:tcW w:w="260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05F9D4FE" w14:textId="77777777" w:rsidR="00E20411" w:rsidRDefault="00000000">
            <w:pPr>
              <w:spacing w:after="40"/>
            </w:pPr>
            <w:r>
              <w:rPr>
                <w:sz w:val="19"/>
                <w:szCs w:val="19"/>
              </w:rPr>
              <w:t>Audit stream</w:t>
            </w:r>
          </w:p>
        </w:tc>
        <w:tc>
          <w:tcPr>
            <w:tcW w:w="6760" w:type="dxa"/>
            <w:tcBorders>
              <w:top w:val="single" w:sz="4" w:space="0" w:color="B9C4D0"/>
              <w:left w:val="single" w:sz="4" w:space="0" w:color="B9C4D0"/>
              <w:bottom w:val="single" w:sz="4" w:space="0" w:color="B9C4D0"/>
              <w:right w:val="single" w:sz="4" w:space="0" w:color="B9C4D0"/>
            </w:tcBorders>
            <w:shd w:val="clear" w:color="auto" w:fill="FFFFFF"/>
            <w:tcMar>
              <w:top w:w="90" w:type="dxa"/>
              <w:left w:w="120" w:type="dxa"/>
              <w:bottom w:w="90" w:type="dxa"/>
              <w:right w:w="120" w:type="dxa"/>
            </w:tcMar>
          </w:tcPr>
          <w:p w14:paraId="5C6CC74C" w14:textId="77777777" w:rsidR="00E20411" w:rsidRDefault="00000000">
            <w:pPr>
              <w:spacing w:after="40"/>
            </w:pPr>
            <w:r>
              <w:rPr>
                <w:sz w:val="19"/>
                <w:szCs w:val="19"/>
              </w:rPr>
              <w:t>A small random sample of all images, labelled regardless of the triage outcome, that keeps recalibration statistically valid.</w:t>
            </w:r>
          </w:p>
        </w:tc>
      </w:tr>
    </w:tbl>
    <w:p w14:paraId="694FA747" w14:textId="77777777" w:rsidR="00E20411" w:rsidRDefault="00000000">
      <w:pPr>
        <w:pStyle w:val="Heading1"/>
        <w:spacing w:before="400" w:after="200"/>
      </w:pPr>
      <w:bookmarkStart w:id="24" w:name="_Toc237730585"/>
      <w:r>
        <w:t>23. References</w:t>
      </w:r>
      <w:bookmarkEnd w:id="24"/>
    </w:p>
    <w:p w14:paraId="2FD14123" w14:textId="77777777" w:rsidR="00E20411" w:rsidRDefault="00000000">
      <w:pPr>
        <w:spacing w:after="160"/>
      </w:pPr>
      <w:r>
        <w:rPr>
          <w:sz w:val="20"/>
          <w:szCs w:val="20"/>
        </w:rPr>
        <w:t>Angelopoulos, A. and Bates, S. "A Gentle Introduction to Conformal Prediction and Distribution-Free Uncertainty Quantification." arXiv:2107.07511, 2021.</w:t>
      </w:r>
    </w:p>
    <w:p w14:paraId="09BC963D" w14:textId="77777777" w:rsidR="00E20411" w:rsidRDefault="00000000">
      <w:pPr>
        <w:spacing w:after="160"/>
      </w:pPr>
      <w:r>
        <w:rPr>
          <w:sz w:val="20"/>
          <w:szCs w:val="20"/>
        </w:rPr>
        <w:t>Angelopoulos, A. et al. "Conformal Risk Control." ICLR, 2024.</w:t>
      </w:r>
    </w:p>
    <w:p w14:paraId="22DC5051" w14:textId="77777777" w:rsidR="00E20411" w:rsidRDefault="00000000">
      <w:pPr>
        <w:spacing w:after="160"/>
      </w:pPr>
      <w:r>
        <w:rPr>
          <w:sz w:val="20"/>
          <w:szCs w:val="20"/>
        </w:rPr>
        <w:t>Angelopoulos, A. et al. "Learn Then Test: Calibrating Predictive Algorithms to Achieve Risk Control." 2022.</w:t>
      </w:r>
    </w:p>
    <w:p w14:paraId="79020911" w14:textId="77777777" w:rsidR="00E20411" w:rsidRDefault="00000000">
      <w:pPr>
        <w:spacing w:after="160"/>
      </w:pPr>
      <w:r>
        <w:rPr>
          <w:sz w:val="20"/>
          <w:szCs w:val="20"/>
        </w:rPr>
        <w:t>Sadinle, M., Lei, J., and Wasserman, L. "Least Ambiguous Set-Valued Classifiers with Bounded Error Levels." JASA, 2019.</w:t>
      </w:r>
    </w:p>
    <w:p w14:paraId="5E22C29E" w14:textId="77777777" w:rsidR="00E20411" w:rsidRDefault="00000000">
      <w:pPr>
        <w:spacing w:after="160"/>
      </w:pPr>
      <w:r>
        <w:rPr>
          <w:sz w:val="20"/>
          <w:szCs w:val="20"/>
        </w:rPr>
        <w:lastRenderedPageBreak/>
        <w:t xml:space="preserve">Romano, Y., Sesia, M., and </w:t>
      </w:r>
      <w:proofErr w:type="spellStart"/>
      <w:r>
        <w:rPr>
          <w:sz w:val="20"/>
          <w:szCs w:val="20"/>
        </w:rPr>
        <w:t>Candès</w:t>
      </w:r>
      <w:proofErr w:type="spellEnd"/>
      <w:r>
        <w:rPr>
          <w:sz w:val="20"/>
          <w:szCs w:val="20"/>
        </w:rPr>
        <w:t xml:space="preserve">, E. "Classification with Valid and Adaptive Coverage." </w:t>
      </w:r>
      <w:proofErr w:type="spellStart"/>
      <w:r>
        <w:rPr>
          <w:sz w:val="20"/>
          <w:szCs w:val="20"/>
        </w:rPr>
        <w:t>NeurIPS</w:t>
      </w:r>
      <w:proofErr w:type="spellEnd"/>
      <w:r>
        <w:rPr>
          <w:sz w:val="20"/>
          <w:szCs w:val="20"/>
        </w:rPr>
        <w:t>, 2020.</w:t>
      </w:r>
    </w:p>
    <w:p w14:paraId="76910189" w14:textId="77777777" w:rsidR="00E20411" w:rsidRDefault="00000000">
      <w:pPr>
        <w:spacing w:after="160"/>
      </w:pPr>
      <w:proofErr w:type="spellStart"/>
      <w:r>
        <w:rPr>
          <w:sz w:val="20"/>
          <w:szCs w:val="20"/>
        </w:rPr>
        <w:t>Tibshirani</w:t>
      </w:r>
      <w:proofErr w:type="spellEnd"/>
      <w:r>
        <w:rPr>
          <w:sz w:val="20"/>
          <w:szCs w:val="20"/>
        </w:rPr>
        <w:t xml:space="preserve">, R. et al. "Conformal Prediction Under Covariate Shift." </w:t>
      </w:r>
      <w:proofErr w:type="spellStart"/>
      <w:r>
        <w:rPr>
          <w:sz w:val="20"/>
          <w:szCs w:val="20"/>
        </w:rPr>
        <w:t>NeurIPS</w:t>
      </w:r>
      <w:proofErr w:type="spellEnd"/>
      <w:r>
        <w:rPr>
          <w:sz w:val="20"/>
          <w:szCs w:val="20"/>
        </w:rPr>
        <w:t>, 2019.</w:t>
      </w:r>
    </w:p>
    <w:p w14:paraId="33F4D251" w14:textId="77777777" w:rsidR="00E20411" w:rsidRDefault="00000000">
      <w:pPr>
        <w:spacing w:after="160"/>
      </w:pPr>
      <w:r>
        <w:rPr>
          <w:sz w:val="20"/>
          <w:szCs w:val="20"/>
        </w:rPr>
        <w:t>Barber, R. et al. "Conformal Prediction Beyond Exchangeability." Annals of Statistics, 2023.</w:t>
      </w:r>
    </w:p>
    <w:p w14:paraId="5235367B" w14:textId="77777777" w:rsidR="00E20411" w:rsidRDefault="00000000">
      <w:pPr>
        <w:spacing w:after="160"/>
      </w:pPr>
      <w:r>
        <w:rPr>
          <w:sz w:val="20"/>
          <w:szCs w:val="20"/>
        </w:rPr>
        <w:t>Guo, C. et al. "On Calibration of Modern Neural Networks." ICML, 2017.</w:t>
      </w:r>
    </w:p>
    <w:p w14:paraId="5E77EA58" w14:textId="77777777" w:rsidR="00E20411" w:rsidRDefault="00000000">
      <w:pPr>
        <w:spacing w:after="160"/>
      </w:pPr>
      <w:r>
        <w:rPr>
          <w:sz w:val="20"/>
          <w:szCs w:val="20"/>
        </w:rPr>
        <w:t xml:space="preserve">Geifman, Y. and El-Yaniv, R. "Selective Classification for Deep Neural Networks." </w:t>
      </w:r>
      <w:proofErr w:type="spellStart"/>
      <w:r>
        <w:rPr>
          <w:sz w:val="20"/>
          <w:szCs w:val="20"/>
        </w:rPr>
        <w:t>NeurIPS</w:t>
      </w:r>
      <w:proofErr w:type="spellEnd"/>
      <w:r>
        <w:rPr>
          <w:sz w:val="20"/>
          <w:szCs w:val="20"/>
        </w:rPr>
        <w:t>, 2017.</w:t>
      </w:r>
    </w:p>
    <w:sectPr w:rsidR="00E2041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8B5E2B"/>
    <w:multiLevelType w:val="hybridMultilevel"/>
    <w:tmpl w:val="CD7A4818"/>
    <w:lvl w:ilvl="0" w:tplc="44086000">
      <w:start w:val="1"/>
      <w:numFmt w:val="bullet"/>
      <w:lvlText w:val="●"/>
      <w:lvlJc w:val="left"/>
      <w:pPr>
        <w:ind w:left="720" w:hanging="360"/>
      </w:pPr>
    </w:lvl>
    <w:lvl w:ilvl="1" w:tplc="56DA7552">
      <w:start w:val="1"/>
      <w:numFmt w:val="bullet"/>
      <w:lvlText w:val="○"/>
      <w:lvlJc w:val="left"/>
      <w:pPr>
        <w:ind w:left="1440" w:hanging="360"/>
      </w:pPr>
    </w:lvl>
    <w:lvl w:ilvl="2" w:tplc="5776C1A0">
      <w:start w:val="1"/>
      <w:numFmt w:val="bullet"/>
      <w:lvlText w:val="■"/>
      <w:lvlJc w:val="left"/>
      <w:pPr>
        <w:ind w:left="2160" w:hanging="360"/>
      </w:pPr>
    </w:lvl>
    <w:lvl w:ilvl="3" w:tplc="CA664D1E">
      <w:start w:val="1"/>
      <w:numFmt w:val="bullet"/>
      <w:lvlText w:val="●"/>
      <w:lvlJc w:val="left"/>
      <w:pPr>
        <w:ind w:left="2880" w:hanging="360"/>
      </w:pPr>
    </w:lvl>
    <w:lvl w:ilvl="4" w:tplc="10C0F136">
      <w:start w:val="1"/>
      <w:numFmt w:val="bullet"/>
      <w:lvlText w:val="○"/>
      <w:lvlJc w:val="left"/>
      <w:pPr>
        <w:ind w:left="3600" w:hanging="360"/>
      </w:pPr>
    </w:lvl>
    <w:lvl w:ilvl="5" w:tplc="6FAA4A06">
      <w:start w:val="1"/>
      <w:numFmt w:val="bullet"/>
      <w:lvlText w:val="■"/>
      <w:lvlJc w:val="left"/>
      <w:pPr>
        <w:ind w:left="4320" w:hanging="360"/>
      </w:pPr>
    </w:lvl>
    <w:lvl w:ilvl="6" w:tplc="1DDAA888">
      <w:start w:val="1"/>
      <w:numFmt w:val="bullet"/>
      <w:lvlText w:val="●"/>
      <w:lvlJc w:val="left"/>
      <w:pPr>
        <w:ind w:left="5040" w:hanging="360"/>
      </w:pPr>
    </w:lvl>
    <w:lvl w:ilvl="7" w:tplc="F32EBE02">
      <w:start w:val="1"/>
      <w:numFmt w:val="bullet"/>
      <w:lvlText w:val="●"/>
      <w:lvlJc w:val="left"/>
      <w:pPr>
        <w:ind w:left="5760" w:hanging="360"/>
      </w:pPr>
    </w:lvl>
    <w:lvl w:ilvl="8" w:tplc="FC34DD4E">
      <w:start w:val="1"/>
      <w:numFmt w:val="bullet"/>
      <w:lvlText w:val="●"/>
      <w:lvlJc w:val="left"/>
      <w:pPr>
        <w:ind w:left="6480" w:hanging="360"/>
      </w:pPr>
    </w:lvl>
  </w:abstractNum>
  <w:abstractNum w:abstractNumId="1" w15:restartNumberingAfterBreak="0">
    <w:nsid w:val="7DF57A86"/>
    <w:multiLevelType w:val="hybridMultilevel"/>
    <w:tmpl w:val="650E5BEC"/>
    <w:lvl w:ilvl="0" w:tplc="D5EC6DC8">
      <w:start w:val="1"/>
      <w:numFmt w:val="decimal"/>
      <w:lvlText w:val="%1."/>
      <w:lvlJc w:val="left"/>
      <w:pPr>
        <w:ind w:left="400" w:hanging="260"/>
      </w:pPr>
    </w:lvl>
    <w:lvl w:ilvl="1" w:tplc="133AE3CC">
      <w:numFmt w:val="decimal"/>
      <w:lvlText w:val=""/>
      <w:lvlJc w:val="left"/>
    </w:lvl>
    <w:lvl w:ilvl="2" w:tplc="8CD0858C">
      <w:numFmt w:val="decimal"/>
      <w:lvlText w:val=""/>
      <w:lvlJc w:val="left"/>
    </w:lvl>
    <w:lvl w:ilvl="3" w:tplc="F002263C">
      <w:numFmt w:val="decimal"/>
      <w:lvlText w:val=""/>
      <w:lvlJc w:val="left"/>
    </w:lvl>
    <w:lvl w:ilvl="4" w:tplc="29EC909C">
      <w:numFmt w:val="decimal"/>
      <w:lvlText w:val=""/>
      <w:lvlJc w:val="left"/>
    </w:lvl>
    <w:lvl w:ilvl="5" w:tplc="4ACE596C">
      <w:numFmt w:val="decimal"/>
      <w:lvlText w:val=""/>
      <w:lvlJc w:val="left"/>
    </w:lvl>
    <w:lvl w:ilvl="6" w:tplc="074EB35C">
      <w:numFmt w:val="decimal"/>
      <w:lvlText w:val=""/>
      <w:lvlJc w:val="left"/>
    </w:lvl>
    <w:lvl w:ilvl="7" w:tplc="831A249C">
      <w:numFmt w:val="decimal"/>
      <w:lvlText w:val=""/>
      <w:lvlJc w:val="left"/>
    </w:lvl>
    <w:lvl w:ilvl="8" w:tplc="FD486402">
      <w:numFmt w:val="decimal"/>
      <w:lvlText w:val=""/>
      <w:lvlJc w:val="left"/>
    </w:lvl>
  </w:abstractNum>
  <w:num w:numId="1" w16cid:durableId="1816726310">
    <w:abstractNumId w:val="0"/>
    <w:lvlOverride w:ilvl="0">
      <w:startOverride w:val="1"/>
    </w:lvlOverride>
  </w:num>
  <w:num w:numId="2" w16cid:durableId="2737525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411"/>
    <w:rsid w:val="00524F7B"/>
    <w:rsid w:val="00E20411"/>
    <w:rsid w:val="00EE27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253EA"/>
  <w15:docId w15:val="{FCFE126E-ABD2-43E4-AB18-CCC3A176C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5C8A"/>
      </w:pBdr>
      <w:spacing w:before="360" w:after="180"/>
      <w:outlineLvl w:val="0"/>
    </w:pPr>
    <w:rPr>
      <w:b/>
      <w:bCs/>
      <w:color w:val="1F2D50"/>
      <w:sz w:val="30"/>
      <w:szCs w:val="30"/>
    </w:rPr>
  </w:style>
  <w:style w:type="paragraph" w:styleId="Heading2">
    <w:name w:val="heading 2"/>
    <w:uiPriority w:val="9"/>
    <w:unhideWhenUsed/>
    <w:qFormat/>
    <w:pPr>
      <w:spacing w:before="280" w:after="140"/>
      <w:outlineLvl w:val="1"/>
    </w:pPr>
    <w:rPr>
      <w:b/>
      <w:bCs/>
      <w:color w:val="2E5C8A"/>
      <w:sz w:val="25"/>
      <w:szCs w:val="25"/>
    </w:rPr>
  </w:style>
  <w:style w:type="paragraph" w:styleId="Heading3">
    <w:name w:val="heading 3"/>
    <w:uiPriority w:val="9"/>
    <w:unhideWhenUsed/>
    <w:qFormat/>
    <w:pPr>
      <w:spacing w:before="200" w:after="100"/>
      <w:outlineLvl w:val="2"/>
    </w:pPr>
    <w:rPr>
      <w:b/>
      <w:bCs/>
      <w:i/>
      <w:iCs/>
      <w:color w:val="3E3E3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24F7B"/>
    <w:pPr>
      <w:spacing w:after="100"/>
    </w:pPr>
  </w:style>
  <w:style w:type="paragraph" w:styleId="TOC2">
    <w:name w:val="toc 2"/>
    <w:basedOn w:val="Normal"/>
    <w:next w:val="Normal"/>
    <w:autoRedefine/>
    <w:uiPriority w:val="39"/>
    <w:unhideWhenUsed/>
    <w:rsid w:val="00524F7B"/>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3979</Words>
  <Characters>22683</Characters>
  <Application>Microsoft Office Word</Application>
  <DocSecurity>0</DocSecurity>
  <Lines>189</Lines>
  <Paragraphs>53</Paragraphs>
  <ScaleCrop>false</ScaleCrop>
  <Company/>
  <LinksUpToDate>false</LinksUpToDate>
  <CharactersWithSpaces>26609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T.RISHIKESH TALPALIKAR - 70572300041</cp:lastModifiedBy>
  <cp:revision>2</cp:revision>
  <dcterms:created xsi:type="dcterms:W3CDTF">2026-08-15T14:43:00Z</dcterms:created>
  <dcterms:modified xsi:type="dcterms:W3CDTF">2026-08-15T18:25:00Z</dcterms:modified>
</cp:coreProperties>
</file>