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rFonts w:ascii="Cambria" w:hAnsi="Cambria"/>
          <w:b/>
          <w:i w:val="0"/>
          <w:color w:val="C00000"/>
          <w:sz w:val="26"/>
        </w:rPr>
        <w:t>PROJECT BLUEPRINT</w:t>
      </w:r>
    </w:p>
    <w:p>
      <w:pPr>
        <w:jc w:val="center"/>
      </w:pPr>
      <w:r>
        <w:rPr>
          <w:rFonts w:ascii="Cambria" w:hAnsi="Cambria"/>
          <w:b/>
          <w:i w:val="0"/>
          <w:color w:val="C00000"/>
          <w:sz w:val="68"/>
        </w:rPr>
        <w:t>TicketSense</w:t>
      </w:r>
    </w:p>
    <w:p>
      <w:pPr>
        <w:spacing w:after="280"/>
        <w:jc w:val="center"/>
      </w:pPr>
      <w:r>
        <w:rPr>
          <w:rFonts w:ascii="Cambria" w:hAnsi="Cambria"/>
          <w:b w:val="0"/>
          <w:i/>
          <w:color w:val="3A3A3A"/>
          <w:sz w:val="28"/>
        </w:rPr>
        <w:t>Multi-Agent Enterprise Ticket Routing and Resolution System</w:t>
      </w:r>
    </w:p>
    <w:p>
      <w:pPr>
        <w:spacing w:after="120"/>
        <w:jc w:val="center"/>
      </w:pPr>
      <w:r>
        <w:rPr>
          <w:rFonts w:ascii="Cambria" w:hAnsi="Cambria"/>
          <w:b w:val="0"/>
          <w:i w:val="0"/>
          <w:color w:val="595959"/>
          <w:sz w:val="21"/>
        </w:rPr>
        <w:t>Domain · Enterprise Software · Retrieval-Augmented Generation · Human-in-the-Loop AI · Machine Learning</w:t>
      </w:r>
    </w:p>
    <w:p>
      <w:pPr>
        <w:spacing w:after="120"/>
        <w:jc w:val="center"/>
      </w:pPr>
      <w:r>
        <w:rPr>
          <w:rFonts w:ascii="Cambria" w:hAnsi="Cambria"/>
          <w:b w:val="0"/>
          <w:i w:val="0"/>
          <w:color w:val="595959"/>
          <w:sz w:val="21"/>
        </w:rPr>
        <w:t>Type of Project · Capstone Project (Team of 3)</w:t>
      </w:r>
    </w:p>
    <w:p>
      <w:pPr>
        <w:spacing w:after="120"/>
        <w:jc w:val="center"/>
      </w:pPr>
      <w:r>
        <w:rPr>
          <w:rFonts w:ascii="Cambria" w:hAnsi="Cambria"/>
          <w:b w:val="0"/>
          <w:i w:val="0"/>
          <w:color w:val="595959"/>
          <w:sz w:val="21"/>
        </w:rPr>
        <w:t>Team · Rishikesh · Aashritha Reddy · Shivaganesh</w:t>
      </w:r>
    </w:p>
    <w:p>
      <w:pPr>
        <w:spacing w:after="120"/>
        <w:jc w:val="center"/>
      </w:pPr>
      <w:r>
        <w:rPr>
          <w:rFonts w:ascii="Cambria" w:hAnsi="Cambria"/>
          <w:b w:val="0"/>
          <w:i w:val="0"/>
          <w:color w:val="595959"/>
          <w:sz w:val="21"/>
        </w:rPr>
        <w:t>B.Tech CSE (Data Science), NMIMS MPSTME Hyderabad</w:t>
      </w:r>
    </w:p>
    <w:p>
      <w:pPr>
        <w:spacing w:after="400"/>
        <w:jc w:val="center"/>
      </w:pPr>
      <w:r>
        <w:rPr>
          <w:rFonts w:ascii="Cambria" w:hAnsi="Cambria"/>
          <w:b w:val="0"/>
          <w:i w:val="0"/>
          <w:color w:val="595959"/>
          <w:sz w:val="21"/>
        </w:rPr>
        <w:t>Document · Project Blueprint, Version 1.0 · August 2026</w:t>
      </w:r>
    </w:p>
    <w:tbl>
      <w:tblPr>
        <w:tblW w:type="auto" w:w="0"/>
        <w:jc w:val="center"/>
        <w:tblBorders>
          <w:top w:val="single" w:sz="4" w:color="D9B7B7"/>
          <w:left w:val="single" w:sz="4" w:color="D9B7B7"/>
          <w:bottom w:val="single" w:sz="4" w:color="D9B7B7"/>
          <w:right w:val="single" w:sz="4" w:color="D9B7B7"/>
          <w:insideH w:val="single" w:sz="4" w:color="D9B7B7"/>
          <w:insideV w:val="single" w:sz="4" w:color="D9B7B7"/>
        </w:tblBorders>
        <w:tblLayout w:type="fixed"/>
        <w:tblLook w:firstColumn="1" w:firstRow="1" w:lastColumn="0" w:lastRow="0" w:noHBand="0" w:noVBand="1" w:val="04A0"/>
      </w:tblPr>
      <w:tblGrid>
        <w:gridCol w:w="10440"/>
      </w:tblGrid>
      <w:tr>
        <w:tc>
          <w:tcPr>
            <w:tcW w:type="dxa" w:w="10440"/>
            <w:shd w:val="clear" w:fill="FBEEEE"/>
          </w:tcPr>
          <w:p>
            <w:pPr>
              <w:spacing w:after="80"/>
            </w:pPr>
            <w:r>
              <w:rPr>
                <w:rFonts w:ascii="Cambria" w:hAnsi="Cambria"/>
                <w:b/>
                <w:i w:val="0"/>
                <w:color w:val="7A0000"/>
                <w:sz w:val="22"/>
              </w:rPr>
              <w:t>THE CONTRIBUTION IN ONE SENTENCE</w:t>
            </w:r>
          </w:p>
          <w:p>
            <w:pPr>
              <w:spacing w:after="80"/>
            </w:pPr>
            <w:r>
              <w:rPr>
                <w:rFonts w:ascii="Cambria" w:hAnsi="Cambria"/>
                <w:b w:val="0"/>
                <w:i w:val="0"/>
                <w:color w:val="3A3A3A"/>
                <w:sz w:val="21"/>
              </w:rPr>
              <w:t>Most AI-assisted ticket systems generate a plausible response and either send it or don't; TicketSense adds an independently trained confidence model — built from retrieval, similarity, and freshness signals rather than the language model's own self-reported certainty — that decides whether an AI-drafted response goes to a human reviewer or is escalated untouched, and measures how well that decision tracks real reviewer outcomes.</w:t>
            </w:r>
          </w:p>
        </w:tc>
      </w:tr>
    </w:tbl>
    <w:p>
      <w:pPr>
        <w:spacing w:after="40"/>
      </w:pPr>
    </w:p>
    <w:p>
      <w:r>
        <w:br w:type="page"/>
      </w:r>
    </w:p>
    <w:p>
      <w:pPr>
        <w:pStyle w:val="Heading1"/>
      </w:pPr>
      <w:r>
        <w:t>Contents</w:t>
      </w:r>
    </w:p>
    <w:p>
      <w:pPr>
        <w:spacing w:after="60"/>
      </w:pPr>
      <w:r>
        <w:rPr>
          <w:rFonts w:ascii="Cambria" w:hAnsi="Cambria"/>
          <w:b w:val="0"/>
          <w:i w:val="0"/>
          <w:color w:val="3A3A3A"/>
          <w:sz w:val="22"/>
        </w:rPr>
        <w:t>Executive Summary</w:t>
      </w:r>
    </w:p>
    <w:p>
      <w:pPr>
        <w:spacing w:after="60"/>
      </w:pPr>
      <w:r>
        <w:rPr>
          <w:rFonts w:ascii="Cambria" w:hAnsi="Cambria"/>
          <w:b w:val="0"/>
          <w:i w:val="0"/>
          <w:color w:val="3A3A3A"/>
          <w:sz w:val="22"/>
        </w:rPr>
        <w:t>1. How to Read This Document</w:t>
      </w:r>
    </w:p>
    <w:p>
      <w:pPr>
        <w:spacing w:after="60"/>
      </w:pPr>
      <w:r>
        <w:rPr>
          <w:rFonts w:ascii="Cambria" w:hAnsi="Cambria"/>
          <w:b w:val="0"/>
          <w:i w:val="0"/>
          <w:color w:val="3A3A3A"/>
          <w:sz w:val="22"/>
        </w:rPr>
        <w:t>2. The Problem, in Plain Terms</w:t>
      </w:r>
    </w:p>
    <w:p>
      <w:pPr>
        <w:spacing w:after="60"/>
      </w:pPr>
      <w:r>
        <w:rPr>
          <w:rFonts w:ascii="Cambria" w:hAnsi="Cambria"/>
          <w:b w:val="0"/>
          <w:i w:val="0"/>
          <w:color w:val="3A3A3A"/>
          <w:sz w:val="22"/>
        </w:rPr>
        <w:t>3. How Enterprise Support Ticket Systems Work Today</w:t>
      </w:r>
    </w:p>
    <w:p>
      <w:pPr>
        <w:spacing w:after="60"/>
      </w:pPr>
      <w:r>
        <w:rPr>
          <w:rFonts w:ascii="Cambria" w:hAnsi="Cambria"/>
          <w:b w:val="0"/>
          <w:i w:val="0"/>
          <w:color w:val="3A3A3A"/>
          <w:sz w:val="22"/>
        </w:rPr>
        <w:t>4. Limitations of Traditional / AI-Assisted Ticket Resolution</w:t>
      </w:r>
    </w:p>
    <w:p>
      <w:pPr>
        <w:spacing w:after="60"/>
      </w:pPr>
      <w:r>
        <w:rPr>
          <w:rFonts w:ascii="Cambria" w:hAnsi="Cambria"/>
          <w:b w:val="0"/>
          <w:i w:val="0"/>
          <w:color w:val="3A3A3A"/>
          <w:sz w:val="22"/>
        </w:rPr>
        <w:t>5. The Specific Gap Addressed by TicketSense</w:t>
      </w:r>
    </w:p>
    <w:p>
      <w:pPr>
        <w:spacing w:after="60"/>
      </w:pPr>
      <w:r>
        <w:rPr>
          <w:rFonts w:ascii="Cambria" w:hAnsi="Cambria"/>
          <w:b w:val="0"/>
          <w:i w:val="0"/>
          <w:color w:val="3A3A3A"/>
          <w:sz w:val="22"/>
        </w:rPr>
        <w:t>6. Problem Statement and Objectives</w:t>
      </w:r>
    </w:p>
    <w:p>
      <w:pPr>
        <w:spacing w:after="60"/>
      </w:pPr>
      <w:r>
        <w:rPr>
          <w:rFonts w:ascii="Cambria" w:hAnsi="Cambria"/>
          <w:b w:val="0"/>
          <w:i w:val="0"/>
          <w:color w:val="3A3A3A"/>
          <w:sz w:val="22"/>
        </w:rPr>
        <w:t>7. Scope of the Project</w:t>
      </w:r>
    </w:p>
    <w:p>
      <w:pPr>
        <w:spacing w:after="60"/>
      </w:pPr>
      <w:r>
        <w:rPr>
          <w:rFonts w:ascii="Cambria" w:hAnsi="Cambria"/>
          <w:b w:val="0"/>
          <w:i w:val="0"/>
          <w:color w:val="3A3A3A"/>
          <w:sz w:val="22"/>
        </w:rPr>
        <w:t>8. Solution Strategy</w:t>
      </w:r>
    </w:p>
    <w:p>
      <w:pPr>
        <w:spacing w:after="60"/>
      </w:pPr>
      <w:r>
        <w:rPr>
          <w:rFonts w:ascii="Cambria" w:hAnsi="Cambria"/>
          <w:b w:val="0"/>
          <w:i w:val="0"/>
          <w:color w:val="3A3A3A"/>
          <w:sz w:val="22"/>
        </w:rPr>
        <w:t>9. System / Method Pipeline</w:t>
      </w:r>
    </w:p>
    <w:p>
      <w:pPr>
        <w:spacing w:after="60"/>
      </w:pPr>
      <w:r>
        <w:rPr>
          <w:rFonts w:ascii="Cambria" w:hAnsi="Cambria"/>
          <w:b w:val="0"/>
          <w:i w:val="0"/>
          <w:color w:val="3A3A3A"/>
          <w:sz w:val="22"/>
        </w:rPr>
        <w:t>10. Architecture and Major Components</w:t>
      </w:r>
    </w:p>
    <w:p>
      <w:pPr>
        <w:spacing w:after="60"/>
      </w:pPr>
      <w:r>
        <w:rPr>
          <w:rFonts w:ascii="Cambria" w:hAnsi="Cambria"/>
          <w:b w:val="0"/>
          <w:i w:val="0"/>
          <w:color w:val="3A3A3A"/>
          <w:sz w:val="22"/>
        </w:rPr>
        <w:t>11. Dataset and Resources</w:t>
      </w:r>
    </w:p>
    <w:p>
      <w:pPr>
        <w:spacing w:after="60"/>
      </w:pPr>
      <w:r>
        <w:rPr>
          <w:rFonts w:ascii="Cambria" w:hAnsi="Cambria"/>
          <w:b w:val="0"/>
          <w:i w:val="0"/>
          <w:color w:val="3A3A3A"/>
          <w:sz w:val="22"/>
        </w:rPr>
        <w:t>12. Baselines and Evaluation Metrics</w:t>
      </w:r>
    </w:p>
    <w:p>
      <w:pPr>
        <w:spacing w:after="60"/>
      </w:pPr>
      <w:r>
        <w:rPr>
          <w:rFonts w:ascii="Cambria" w:hAnsi="Cambria"/>
          <w:b w:val="0"/>
          <w:i w:val="0"/>
          <w:color w:val="3A3A3A"/>
          <w:sz w:val="22"/>
        </w:rPr>
        <w:t>13. Experimental / Evaluation Protocol</w:t>
      </w:r>
    </w:p>
    <w:p>
      <w:pPr>
        <w:spacing w:after="60"/>
      </w:pPr>
      <w:r>
        <w:rPr>
          <w:rFonts w:ascii="Cambria" w:hAnsi="Cambria"/>
          <w:b w:val="0"/>
          <w:i w:val="0"/>
          <w:color w:val="3A3A3A"/>
          <w:sz w:val="22"/>
        </w:rPr>
        <w:t>14. Implementation and Technology Stack</w:t>
      </w:r>
    </w:p>
    <w:p>
      <w:pPr>
        <w:spacing w:after="60"/>
      </w:pPr>
      <w:r>
        <w:rPr>
          <w:rFonts w:ascii="Cambria" w:hAnsi="Cambria"/>
          <w:b w:val="0"/>
          <w:i w:val="0"/>
          <w:color w:val="3A3A3A"/>
          <w:sz w:val="22"/>
        </w:rPr>
        <w:t>15. 12-Week Work Plan</w:t>
      </w:r>
    </w:p>
    <w:p>
      <w:pPr>
        <w:spacing w:after="60"/>
      </w:pPr>
      <w:r>
        <w:rPr>
          <w:rFonts w:ascii="Cambria" w:hAnsi="Cambria"/>
          <w:b w:val="0"/>
          <w:i w:val="0"/>
          <w:color w:val="3A3A3A"/>
          <w:sz w:val="22"/>
        </w:rPr>
        <w:t>16. Risk Assessment and Mitigation</w:t>
      </w:r>
    </w:p>
    <w:p>
      <w:pPr>
        <w:spacing w:after="60"/>
      </w:pPr>
      <w:r>
        <w:rPr>
          <w:rFonts w:ascii="Cambria" w:hAnsi="Cambria"/>
          <w:b w:val="0"/>
          <w:i w:val="0"/>
          <w:color w:val="3A3A3A"/>
          <w:sz w:val="22"/>
        </w:rPr>
        <w:t>17. Expected Outcomes and Deliverables</w:t>
      </w:r>
    </w:p>
    <w:p>
      <w:pPr>
        <w:spacing w:after="60"/>
      </w:pPr>
      <w:r>
        <w:rPr>
          <w:rFonts w:ascii="Cambria" w:hAnsi="Cambria"/>
          <w:b w:val="0"/>
          <w:i w:val="0"/>
          <w:color w:val="3A3A3A"/>
          <w:sz w:val="22"/>
        </w:rPr>
        <w:t>18. Glossary of Key Terms</w:t>
      </w:r>
    </w:p>
    <w:p>
      <w:pPr>
        <w:spacing w:after="60"/>
      </w:pPr>
      <w:r>
        <w:rPr>
          <w:rFonts w:ascii="Cambria" w:hAnsi="Cambria"/>
          <w:b w:val="0"/>
          <w:i w:val="0"/>
          <w:color w:val="3A3A3A"/>
          <w:sz w:val="22"/>
        </w:rPr>
        <w:t>References</w:t>
      </w:r>
    </w:p>
    <w:p>
      <w:r>
        <w:br w:type="page"/>
      </w:r>
    </w:p>
    <w:p>
      <w:pPr>
        <w:pStyle w:val="Heading1"/>
      </w:pPr>
      <w:r>
        <w:t>Executive Summary</w:t>
      </w:r>
    </w:p>
    <w:p>
      <w:pPr>
        <w:spacing w:after="160"/>
      </w:pPr>
      <w:r>
        <w:rPr>
          <w:rFonts w:ascii="Cambria" w:hAnsi="Cambria"/>
          <w:b w:val="0"/>
          <w:i w:val="0"/>
          <w:color w:val="3A3A3A"/>
          <w:sz w:val="22"/>
        </w:rPr>
        <w:t>Enterprise organisations receive a constant stream of repetitive support tickets — SAP errors, network issues, HR queries, cloud faults — and today this is triaged almost entirely by hand: an agent reads the ticket, guesses which team should own it, and a specialist investigates from scratch, often re-solving a problem that has already been solved for someone else. Applying generative AI directly to this problem introduces two well-documented failure modes: the model can hallucinate an answer that is not actually grounded in real documentation, and it is a poor judge of its own reliability, so a system built on the model's self-reported confidence either automates unsafely or escalates so conservatively that it adds no value.</w:t>
      </w:r>
    </w:p>
    <w:p>
      <w:pPr>
        <w:spacing w:after="160"/>
      </w:pPr>
      <w:r>
        <w:rPr>
          <w:rFonts w:ascii="Cambria" w:hAnsi="Cambria"/>
          <w:b w:val="0"/>
          <w:i w:val="0"/>
          <w:color w:val="3A3A3A"/>
          <w:sz w:val="22"/>
        </w:rPr>
        <w:t>TicketSense is a prototype ticket-resolution assistant that classifies and routes incoming tickets, retrieves grounded evidence from a department-scoped knowledge base using retrieval-augmented generation (RAG), drafts a cited response from that evidence, and then passes the draft through an independently trained confidence model before any human sees it. That model — not the language model itself — decides whether the draft is shown to a department engineer for review or escalated to a human without an AI answer attached. Every reviewer decision is logged and used to evaluate and improve the confidence model over time.</w:t>
      </w:r>
    </w:p>
    <w:p>
      <w:pPr>
        <w:spacing w:after="160"/>
      </w:pPr>
      <w:r>
        <w:rPr>
          <w:rFonts w:ascii="Cambria" w:hAnsi="Cambria"/>
          <w:b w:val="0"/>
          <w:i w:val="0"/>
          <w:color w:val="3A3A3A"/>
          <w:sz w:val="22"/>
        </w:rPr>
        <w:t>This document explains the problem, the design of the system, the dataset strategy, the evaluation plan, the technology stack, and a 12-week implementation plan for a three-member student team. The project reuses established, pretrained components — RAG, sentence embeddings, LangGraph orchestration — wherever a reliable off-the-shelf option exists; the actual contribution is the design, integration, implementation, and evaluation of a confidence-gated human-in-the-loop workflow built specifically for enterprise ticket resolution, evaluated against a self-reported-confidence baseline.</w:t>
      </w:r>
    </w:p>
    <w:p>
      <w:pPr>
        <w:pStyle w:val="Heading1"/>
      </w:pPr>
      <w:r>
        <w:t>1. How to Read This Document</w:t>
      </w:r>
    </w:p>
    <w:p>
      <w:pPr>
        <w:spacing w:after="160"/>
      </w:pPr>
      <w:r>
        <w:rPr>
          <w:rFonts w:ascii="Cambria" w:hAnsi="Cambria"/>
          <w:b w:val="0"/>
          <w:i w:val="0"/>
          <w:color w:val="3A3A3A"/>
          <w:sz w:val="22"/>
        </w:rPr>
        <w:t>This blueprint explains the project from first principles before narrowing to the exact system being built. No prior background in RAG, classification, or human-AI collaboration is assumed; every technical term is explained in plain language the first time it is used in depth, and collected again in the glossary (Section 18).</w:t>
      </w:r>
    </w:p>
    <w:tbl>
      <w:tblPr>
        <w:tblW w:type="auto" w:w="0"/>
        <w:jc w:val="center"/>
        <w:tblBorders>
          <w:top w:val="single" w:sz="4" w:color="D9B7B7"/>
          <w:left w:val="single" w:sz="4" w:color="D9B7B7"/>
          <w:bottom w:val="single" w:sz="4" w:color="D9B7B7"/>
          <w:right w:val="single" w:sz="4" w:color="D9B7B7"/>
          <w:insideH w:val="single" w:sz="4" w:color="D9B7B7"/>
          <w:insideV w:val="single" w:sz="4" w:color="D9B7B7"/>
        </w:tblBorders>
        <w:tblLayout w:type="fixed"/>
        <w:tblLook w:firstColumn="1" w:firstRow="1" w:lastColumn="0" w:lastRow="0" w:noHBand="0" w:noVBand="1" w:val="04A0"/>
      </w:tblPr>
      <w:tblGrid>
        <w:gridCol w:w="10440"/>
      </w:tblGrid>
      <w:tr>
        <w:tc>
          <w:tcPr>
            <w:tcW w:type="dxa" w:w="10440"/>
            <w:shd w:val="clear" w:fill="FBEEEE"/>
          </w:tcPr>
          <w:p>
            <w:pPr>
              <w:spacing w:after="80"/>
            </w:pPr>
            <w:r>
              <w:rPr>
                <w:rFonts w:ascii="Cambria" w:hAnsi="Cambria"/>
                <w:b/>
                <w:i w:val="0"/>
                <w:color w:val="7A0000"/>
                <w:sz w:val="22"/>
              </w:rPr>
              <w:t>STRUCTURE OF THIS DOCUMENT</w:t>
            </w:r>
          </w:p>
          <w:p>
            <w:pPr>
              <w:spacing w:after="80"/>
            </w:pPr>
            <w:r>
              <w:rPr>
                <w:rFonts w:ascii="Cambria" w:hAnsi="Cambria"/>
                <w:b w:val="0"/>
                <w:i w:val="0"/>
                <w:color w:val="3A3A3A"/>
                <w:sz w:val="21"/>
              </w:rPr>
              <w:t>Sections 2–5 explain the problem and background in plain language.</w:t>
            </w:r>
          </w:p>
          <w:p>
            <w:pPr>
              <w:spacing w:after="80"/>
            </w:pPr>
            <w:r>
              <w:rPr>
                <w:rFonts w:ascii="Cambria" w:hAnsi="Cambria"/>
                <w:b w:val="0"/>
                <w:i w:val="0"/>
                <w:color w:val="3A3A3A"/>
                <w:sz w:val="21"/>
              </w:rPr>
              <w:t>Section 6 states the objectives; Section 7 states the scope.</w:t>
            </w:r>
          </w:p>
          <w:p>
            <w:pPr>
              <w:spacing w:after="80"/>
            </w:pPr>
            <w:r>
              <w:rPr>
                <w:rFonts w:ascii="Cambria" w:hAnsi="Cambria"/>
                <w:b w:val="0"/>
                <w:i w:val="0"/>
                <w:color w:val="3A3A3A"/>
                <w:sz w:val="21"/>
              </w:rPr>
              <w:t>Sections 8–10 describe the approach, pipeline, and architecture.</w:t>
            </w:r>
          </w:p>
          <w:p>
            <w:pPr>
              <w:spacing w:after="80"/>
            </w:pPr>
            <w:r>
              <w:rPr>
                <w:rFonts w:ascii="Cambria" w:hAnsi="Cambria"/>
                <w:b w:val="0"/>
                <w:i w:val="0"/>
                <w:color w:val="3A3A3A"/>
                <w:sz w:val="21"/>
              </w:rPr>
              <w:t>Sections 11–13 cover data, baselines, and evaluation metrics.</w:t>
            </w:r>
          </w:p>
          <w:p>
            <w:pPr>
              <w:spacing w:after="80"/>
            </w:pPr>
            <w:r>
              <w:rPr>
                <w:rFonts w:ascii="Cambria" w:hAnsi="Cambria"/>
                <w:b w:val="0"/>
                <w:i w:val="0"/>
                <w:color w:val="3A3A3A"/>
                <w:sz w:val="21"/>
              </w:rPr>
              <w:t>Section 14 covers the tech stack; Section 15 the 12-week plan.</w:t>
            </w:r>
          </w:p>
          <w:p>
            <w:pPr>
              <w:spacing w:after="80"/>
            </w:pPr>
            <w:r>
              <w:rPr>
                <w:rFonts w:ascii="Cambria" w:hAnsi="Cambria"/>
                <w:b w:val="0"/>
                <w:i w:val="0"/>
                <w:color w:val="3A3A3A"/>
                <w:sz w:val="21"/>
              </w:rPr>
              <w:t>Sections 16–17 cover risks and expected deliverables.</w:t>
            </w:r>
          </w:p>
          <w:p>
            <w:pPr>
              <w:spacing w:after="80"/>
            </w:pPr>
            <w:r>
              <w:rPr>
                <w:rFonts w:ascii="Cambria" w:hAnsi="Cambria"/>
                <w:b w:val="0"/>
                <w:i w:val="0"/>
                <w:color w:val="3A3A3A"/>
                <w:sz w:val="21"/>
              </w:rPr>
              <w:t>Section 18 is a glossary — every bold technical term is defined there.</w:t>
            </w:r>
          </w:p>
        </w:tc>
      </w:tr>
    </w:tbl>
    <w:p>
      <w:pPr>
        <w:spacing w:after="40"/>
      </w:pPr>
    </w:p>
    <w:p>
      <w:pPr>
        <w:pStyle w:val="Heading1"/>
      </w:pPr>
      <w:r>
        <w:t>2. The Problem, in Plain Terms</w:t>
      </w:r>
    </w:p>
    <w:p>
      <w:pPr>
        <w:pStyle w:val="Heading2"/>
      </w:pPr>
      <w:r>
        <w:t>2.1 What Happens to a Support Ticket Today</w:t>
      </w:r>
    </w:p>
    <w:p>
      <w:pPr>
        <w:spacing w:after="160"/>
      </w:pPr>
      <w:r>
        <w:rPr>
          <w:rFonts w:ascii="Cambria" w:hAnsi="Cambria"/>
          <w:b w:val="0"/>
          <w:i w:val="0"/>
          <w:color w:val="3A3A3A"/>
          <w:sz w:val="22"/>
        </w:rPr>
        <w:t>A support ticket is a written request or complaint — “I cannot connect to the VPN,” “SAP throws error ME023 when I create a purchase order” — submitted to an internal support desk. Today, a human agent reads it, decides which department should handle it (SAP, Networking, Cloud, HR, and so on), assigns it, and a specialist then searches old tickets and internal documentation before writing a reply. When many users hit the same underlying issue, this manual search is repeated over and over for what is, underneath, the same problem.</w:t>
      </w:r>
    </w:p>
    <w:p>
      <w:pPr>
        <w:pStyle w:val="Heading2"/>
      </w:pPr>
      <w:r>
        <w:t>2.2 Why Adding AI Directly Does Not Fix This</w:t>
      </w:r>
    </w:p>
    <w:p>
      <w:pPr>
        <w:spacing w:after="160"/>
      </w:pPr>
      <w:r>
        <w:rPr>
          <w:rFonts w:ascii="Cambria" w:hAnsi="Cambria"/>
          <w:b w:val="0"/>
          <w:i w:val="0"/>
          <w:color w:val="3A3A3A"/>
          <w:sz w:val="22"/>
        </w:rPr>
        <w:t>The natural next step is to let a large language model (LLM) — the technology behind tools like ChatGPT — read the ticket and write the reply. Two problems appear immediately. First, an LLM answering from what it memorised during training can state a plausible-sounding detail that is simply not true for this organisation — a hallucination. Second, if asked “how confident are you in that answer,” an LLM's own number is known to correlate poorly with whether the answer is actually correct, so a system that trusts this self-reported score will either send unsafe answers with misplaced confidence, or escalate almost everything and provide no real automation benefit.</w:t>
      </w:r>
    </w:p>
    <w:p>
      <w:pPr>
        <w:pStyle w:val="Heading1"/>
      </w:pPr>
      <w:r>
        <w:t>3. How Enterprise Support Ticket Systems Work Today</w:t>
      </w:r>
    </w:p>
    <w:p>
      <w:pPr>
        <w:spacing w:after="160"/>
      </w:pPr>
      <w:r>
        <w:rPr>
          <w:rFonts w:ascii="Cambria" w:hAnsi="Cambria"/>
          <w:b w:val="0"/>
          <w:i w:val="0"/>
          <w:color w:val="3A3A3A"/>
          <w:sz w:val="22"/>
        </w:rPr>
        <w:t>Commercial IT service-management (ITSM) platforms — ServiceNow, Zendesk, Freshservice, Salesforce Service Cloud — already offer AI-assisted triage, and several incorporate some form of retrieval grounding before drafting a reply. This is well-trodden ground: the retrieval-and-generation pattern does not need to be invented for this project, and reusing proven, pretrained components for classification, embeddings, and generation is the right engineering choice at capstone scale.</w:t>
      </w:r>
    </w:p>
    <w:p>
      <w:pPr>
        <w:spacing w:after="160"/>
      </w:pPr>
      <w:r>
        <w:rPr>
          <w:rFonts w:ascii="Cambria" w:hAnsi="Cambria"/>
          <w:b w:val="0"/>
          <w:i w:val="0"/>
          <w:color w:val="3A3A3A"/>
          <w:sz w:val="22"/>
        </w:rPr>
        <w:t>What these platforms do not publish in any technical depth is the specific method behind their trust or escalation decision — how they decide an AI draft is safe enough to show a human, and how that decision is validated. That gap, at a small and honestly-evaluated scale, is where TicketSense focuses its effort.</w:t>
      </w:r>
    </w:p>
    <w:p>
      <w:pPr>
        <w:pStyle w:val="Heading1"/>
      </w:pPr>
      <w:r>
        <w:t>4. Limitations of Traditional / AI-Assisted Ticket Resolution</w:t>
      </w:r>
    </w:p>
    <w:tbl>
      <w:tblPr>
        <w:tblW w:type="auto" w:w="0"/>
        <w:jc w:val="center"/>
        <w:tblBorders>
          <w:top w:val="single" w:sz="4" w:color="D9B7B7"/>
          <w:left w:val="single" w:sz="4" w:color="D9B7B7"/>
          <w:bottom w:val="single" w:sz="4" w:color="D9B7B7"/>
          <w:right w:val="single" w:sz="4" w:color="D9B7B7"/>
          <w:insideH w:val="single" w:sz="4" w:color="D9B7B7"/>
          <w:insideV w:val="single" w:sz="4" w:color="D9B7B7"/>
        </w:tblBorders>
        <w:tblLayout w:type="fixed"/>
        <w:tblLook w:firstColumn="1" w:firstRow="1" w:lastColumn="0" w:lastRow="0" w:noHBand="0" w:noVBand="1" w:val="04A0"/>
      </w:tblPr>
      <w:tblGrid>
        <w:gridCol w:w="10440"/>
      </w:tblGrid>
      <w:tr>
        <w:tc>
          <w:tcPr>
            <w:tcW w:type="dxa" w:w="10440"/>
            <w:shd w:val="clear" w:fill="FBEEEE"/>
          </w:tcPr>
          <w:p>
            <w:pPr>
              <w:spacing w:after="80"/>
            </w:pPr>
            <w:r>
              <w:rPr>
                <w:rFonts w:ascii="Cambria" w:hAnsi="Cambria"/>
                <w:b/>
                <w:i w:val="0"/>
                <w:color w:val="7A0000"/>
                <w:sz w:val="22"/>
              </w:rPr>
              <w:t>DEFINITION — HALLUCINATION (RAG CONTEXT)</w:t>
            </w:r>
          </w:p>
          <w:p>
            <w:pPr>
              <w:spacing w:after="80"/>
            </w:pPr>
            <w:r>
              <w:rPr>
                <w:rFonts w:ascii="Cambria" w:hAnsi="Cambria"/>
                <w:b w:val="0"/>
                <w:i w:val="0"/>
                <w:color w:val="3A3A3A"/>
                <w:sz w:val="21"/>
              </w:rPr>
              <w:t>A statement in a generated reply that is not actually supported by the retrieved evidence, despite the model having had access to that evidence — a fabricated troubleshooting step, a wrong error-code meaning, or a policy detail that was never in the source document.</w:t>
            </w:r>
          </w:p>
        </w:tc>
      </w:tr>
    </w:tbl>
    <w:p>
      <w:pPr>
        <w:spacing w:after="40"/>
      </w:pPr>
    </w:p>
    <w:tbl>
      <w:tblPr>
        <w:tblW w:type="auto" w:w="0"/>
        <w:jc w:val="center"/>
        <w:tblBorders>
          <w:top w:val="single" w:sz="4" w:color="D9B7B7"/>
          <w:left w:val="single" w:sz="4" w:color="D9B7B7"/>
          <w:bottom w:val="single" w:sz="4" w:color="D9B7B7"/>
          <w:right w:val="single" w:sz="4" w:color="D9B7B7"/>
          <w:insideH w:val="single" w:sz="4" w:color="D9B7B7"/>
          <w:insideV w:val="single" w:sz="4" w:color="D9B7B7"/>
        </w:tblBorders>
        <w:tblLayout w:type="fixed"/>
        <w:tblLook w:firstColumn="1" w:firstRow="1" w:lastColumn="0" w:lastRow="0" w:noHBand="0" w:noVBand="1" w:val="04A0"/>
      </w:tblPr>
      <w:tblGrid>
        <w:gridCol w:w="10440"/>
      </w:tblGrid>
      <w:tr>
        <w:tc>
          <w:tcPr>
            <w:tcW w:type="dxa" w:w="10440"/>
            <w:shd w:val="clear" w:fill="FBEEEE"/>
          </w:tcPr>
          <w:p>
            <w:pPr>
              <w:spacing w:after="80"/>
            </w:pPr>
            <w:r>
              <w:rPr>
                <w:rFonts w:ascii="Cambria" w:hAnsi="Cambria"/>
                <w:b/>
                <w:i w:val="0"/>
                <w:color w:val="7A0000"/>
                <w:sz w:val="22"/>
              </w:rPr>
              <w:t>DEFINITION — UNRELIABLE SELF-REPORTED CONFIDENCE</w:t>
            </w:r>
          </w:p>
          <w:p>
            <w:pPr>
              <w:spacing w:after="80"/>
            </w:pPr>
            <w:r>
              <w:rPr>
                <w:rFonts w:ascii="Cambria" w:hAnsi="Cambria"/>
                <w:b w:val="0"/>
                <w:i w:val="0"/>
                <w:color w:val="3A3A3A"/>
                <w:sz w:val="21"/>
              </w:rPr>
              <w:t>When a language model is asked to rate its own certainty in an answer, that rating is known to correlate poorly with whether the answer is factually correct — a model can be equally “confident” when right and when wrong. This makes self-reported confidence an unsafe basis for an automated trust decision.</w:t>
            </w:r>
          </w:p>
        </w:tc>
      </w:tr>
    </w:tbl>
    <w:p>
      <w:pPr>
        <w:spacing w:after="40"/>
      </w:pPr>
    </w:p>
    <w:tbl>
      <w:tblPr>
        <w:tblW w:type="auto" w:w="0"/>
        <w:jc w:val="center"/>
        <w:tblBorders>
          <w:top w:val="single" w:sz="4" w:color="D9B7B7"/>
          <w:left w:val="single" w:sz="4" w:color="D9B7B7"/>
          <w:bottom w:val="single" w:sz="4" w:color="D9B7B7"/>
          <w:right w:val="single" w:sz="4" w:color="D9B7B7"/>
          <w:insideH w:val="single" w:sz="4" w:color="D9B7B7"/>
          <w:insideV w:val="single" w:sz="4" w:color="D9B7B7"/>
        </w:tblBorders>
        <w:tblLayout w:type="fixed"/>
        <w:tblLook w:firstColumn="1" w:firstRow="1" w:lastColumn="0" w:lastRow="0" w:noHBand="0" w:noVBand="1" w:val="04A0"/>
      </w:tblPr>
      <w:tblGrid>
        <w:gridCol w:w="10440"/>
      </w:tblGrid>
      <w:tr>
        <w:tc>
          <w:tcPr>
            <w:tcW w:type="dxa" w:w="10440"/>
            <w:shd w:val="clear" w:fill="FBEEEE"/>
          </w:tcPr>
          <w:p>
            <w:pPr>
              <w:spacing w:after="80"/>
            </w:pPr>
            <w:r>
              <w:rPr>
                <w:rFonts w:ascii="Cambria" w:hAnsi="Cambria"/>
                <w:b/>
                <w:i w:val="0"/>
                <w:color w:val="7A0000"/>
                <w:sz w:val="22"/>
              </w:rPr>
              <w:t>AN HONEST SCOPING POINT</w:t>
            </w:r>
          </w:p>
          <w:p>
            <w:pPr>
              <w:spacing w:after="80"/>
            </w:pPr>
            <w:r>
              <w:rPr>
                <w:rFonts w:ascii="Cambria" w:hAnsi="Cambria"/>
                <w:b w:val="0"/>
                <w:i w:val="0"/>
                <w:color w:val="3A3A3A"/>
                <w:sz w:val="21"/>
              </w:rPr>
              <w:t>This is a capstone project, not a claim to have invented RAG, ticket classification, confidence modelling, or human-in-the-loop review — all are established techniques. The contribution is the design, integration, implementation, and evaluation of a confidence-gated workflow that combines them specifically for enterprise ticket resolution, stated plainly rather than oversold.</w:t>
            </w:r>
          </w:p>
        </w:tc>
      </w:tr>
    </w:tbl>
    <w:p>
      <w:pPr>
        <w:spacing w:after="40"/>
      </w:pPr>
    </w:p>
    <w:p>
      <w:pPr>
        <w:pStyle w:val="Heading1"/>
      </w:pPr>
      <w:r>
        <w:t>5. The Specific Gap Addressed by TicketSense</w:t>
      </w:r>
    </w:p>
    <w:tbl>
      <w:tblPr>
        <w:tblW w:type="auto" w:w="0"/>
        <w:jc w:val="center"/>
        <w:tblBorders>
          <w:top w:val="single" w:sz="4" w:color="D9B7B7"/>
          <w:left w:val="single" w:sz="4" w:color="D9B7B7"/>
          <w:bottom w:val="single" w:sz="4" w:color="D9B7B7"/>
          <w:right w:val="single" w:sz="4" w:color="D9B7B7"/>
          <w:insideH w:val="single" w:sz="4" w:color="D9B7B7"/>
          <w:insideV w:val="single" w:sz="4" w:color="D9B7B7"/>
        </w:tblBorders>
        <w:tblLayout w:type="fixed"/>
        <w:tblLook w:firstColumn="1" w:firstRow="1" w:lastColumn="0" w:lastRow="0" w:noHBand="0" w:noVBand="1" w:val="04A0"/>
      </w:tblPr>
      <w:tblGrid>
        <w:gridCol w:w="10440"/>
      </w:tblGrid>
      <w:tr>
        <w:tc>
          <w:tcPr>
            <w:tcW w:type="dxa" w:w="10440"/>
            <w:shd w:val="clear" w:fill="FBEEEE"/>
          </w:tcPr>
          <w:p>
            <w:pPr>
              <w:spacing w:after="80"/>
            </w:pPr>
            <w:r>
              <w:rPr>
                <w:rFonts w:ascii="Cambria" w:hAnsi="Cambria"/>
                <w:b/>
                <w:i w:val="0"/>
                <w:color w:val="7A0000"/>
                <w:sz w:val="22"/>
              </w:rPr>
              <w:t>THE GAP THIS PROJECT ADDRESSES</w:t>
            </w:r>
          </w:p>
          <w:p>
            <w:pPr>
              <w:spacing w:after="80"/>
            </w:pPr>
            <w:r>
              <w:rPr>
                <w:rFonts w:ascii="Cambria" w:hAnsi="Cambria"/>
                <w:b w:val="0"/>
                <w:i w:val="0"/>
                <w:color w:val="3A3A3A"/>
                <w:sz w:val="21"/>
              </w:rPr>
              <w:t>Most AI-assisted ticketing demonstrations generate a reply and stop, or gate automation using the language model's own confidence. What is missing is a small, fully documented, reproducible confidence-gating methodology — a separately trained classifier, evaluated against a self-reported-confidence baseline on the same tickets, with its training labels drawn from real human accept/edit/reject outcomes rather than a one-time benchmark.</w:t>
            </w:r>
          </w:p>
        </w:tc>
      </w:tr>
    </w:tbl>
    <w:p>
      <w:pPr>
        <w:spacing w:after="40"/>
      </w:pPr>
    </w:p>
    <w:p>
      <w:pPr>
        <w:pStyle w:val="Heading1"/>
      </w:pPr>
      <w:r>
        <w:t>6. Problem Statement and Objectives</w:t>
      </w:r>
    </w:p>
    <w:tbl>
      <w:tblPr>
        <w:tblW w:type="auto" w:w="0"/>
        <w:jc w:val="center"/>
        <w:tblBorders>
          <w:top w:val="single" w:sz="4" w:color="D9B7B7"/>
          <w:left w:val="single" w:sz="4" w:color="D9B7B7"/>
          <w:bottom w:val="single" w:sz="4" w:color="D9B7B7"/>
          <w:right w:val="single" w:sz="4" w:color="D9B7B7"/>
          <w:insideH w:val="single" w:sz="4" w:color="D9B7B7"/>
          <w:insideV w:val="single" w:sz="4" w:color="D9B7B7"/>
        </w:tblBorders>
        <w:tblLayout w:type="fixed"/>
        <w:tblLook w:firstColumn="1" w:firstRow="1" w:lastColumn="0" w:lastRow="0" w:noHBand="0" w:noVBand="1" w:val="04A0"/>
      </w:tblPr>
      <w:tblGrid>
        <w:gridCol w:w="10440"/>
      </w:tblGrid>
      <w:tr>
        <w:tc>
          <w:tcPr>
            <w:tcW w:type="dxa" w:w="10440"/>
            <w:shd w:val="clear" w:fill="FBEEEE"/>
          </w:tcPr>
          <w:p>
            <w:pPr>
              <w:spacing w:after="80"/>
            </w:pPr>
            <w:r>
              <w:rPr>
                <w:rFonts w:ascii="Cambria" w:hAnsi="Cambria"/>
                <w:b/>
                <w:i w:val="0"/>
                <w:color w:val="7A0000"/>
                <w:sz w:val="22"/>
              </w:rPr>
              <w:t>PROBLEM STATEMENT</w:t>
            </w:r>
          </w:p>
          <w:p>
            <w:pPr>
              <w:spacing w:after="80"/>
            </w:pPr>
            <w:r>
              <w:rPr>
                <w:rFonts w:ascii="Cambria" w:hAnsi="Cambria"/>
                <w:b/>
                <w:i w:val="0"/>
                <w:color w:val="3A3A3A"/>
                <w:sz w:val="21"/>
              </w:rPr>
              <w:t xml:space="preserve">Current situation  </w:t>
            </w:r>
            <w:r>
              <w:rPr>
                <w:rFonts w:ascii="Cambria" w:hAnsi="Cambria"/>
                <w:b w:val="0"/>
                <w:i w:val="0"/>
                <w:color w:val="3A3A3A"/>
                <w:sz w:val="21"/>
              </w:rPr>
              <w:t>Manual ticket triage is slow and repetitive, and naive AI automation either hallucinates ungrounded answers or cannot reliably judge when its own answer should be trusted.</w:t>
            </w:r>
          </w:p>
          <w:p>
            <w:pPr>
              <w:spacing w:after="80"/>
            </w:pPr>
            <w:r>
              <w:rPr>
                <w:rFonts w:ascii="Cambria" w:hAnsi="Cambria"/>
                <w:b/>
                <w:i w:val="0"/>
                <w:color w:val="3A3A3A"/>
                <w:sz w:val="21"/>
              </w:rPr>
              <w:t xml:space="preserve">Observed risk  </w:t>
            </w:r>
            <w:r>
              <w:rPr>
                <w:rFonts w:ascii="Cambria" w:hAnsi="Cambria"/>
                <w:b w:val="0"/>
                <w:i w:val="0"/>
                <w:color w:val="3A3A3A"/>
                <w:sz w:val="21"/>
              </w:rPr>
              <w:t>Unsupported or wrong AI-drafted answers can reach a department engineer with no signal of how trustworthy they are, while systems that escalate everything provide no automation benefit at all.</w:t>
            </w:r>
          </w:p>
          <w:p>
            <w:pPr>
              <w:spacing w:after="80"/>
            </w:pPr>
            <w:r>
              <w:rPr>
                <w:rFonts w:ascii="Cambria" w:hAnsi="Cambria"/>
                <w:b/>
                <w:i w:val="0"/>
                <w:color w:val="3A3A3A"/>
                <w:sz w:val="21"/>
              </w:rPr>
              <w:t xml:space="preserve">Proposed remedy  </w:t>
            </w:r>
            <w:r>
              <w:rPr>
                <w:rFonts w:ascii="Cambria" w:hAnsi="Cambria"/>
                <w:b w:val="0"/>
                <w:i w:val="0"/>
                <w:color w:val="3A3A3A"/>
                <w:sz w:val="21"/>
              </w:rPr>
              <w:t>Ground every draft in retrieved evidence, extract measurable reliability signals from that evidence and the ticket context, and use a separately trained confidence model — not the LLM itself — to gate whether a draft goes to human review or is escalated untouched.</w:t>
            </w:r>
          </w:p>
        </w:tc>
      </w:tr>
    </w:tbl>
    <w:p>
      <w:pPr>
        <w:spacing w:after="40"/>
      </w:pPr>
    </w:p>
    <w:p>
      <w:pPr>
        <w:pStyle w:val="Heading2"/>
      </w:pPr>
      <w:r>
        <w:t>6.1 Objectives</w:t>
      </w:r>
    </w:p>
    <w:p>
      <w:pPr>
        <w:pStyle w:val="ListNumber"/>
        <w:spacing w:after="80"/>
      </w:pPr>
      <w:r>
        <w:rPr>
          <w:rFonts w:ascii="Cambria" w:hAnsi="Cambria"/>
          <w:b/>
          <w:i w:val="0"/>
          <w:color w:val="3A3A3A"/>
          <w:sz w:val="22"/>
        </w:rPr>
        <w:t xml:space="preserve">O1  </w:t>
      </w:r>
      <w:r>
        <w:rPr>
          <w:rFonts w:ascii="Cambria" w:hAnsi="Cambria"/>
          <w:b w:val="0"/>
          <w:i w:val="0"/>
          <w:color w:val="3A3A3A"/>
          <w:sz w:val="22"/>
        </w:rPr>
        <w:t>Build a ticket intake and classification pipeline that assigns department, priority, and sentiment to an incoming ticket.</w:t>
      </w:r>
    </w:p>
    <w:p>
      <w:pPr>
        <w:pStyle w:val="ListNumber"/>
        <w:spacing w:after="80"/>
      </w:pPr>
      <w:r>
        <w:rPr>
          <w:rFonts w:ascii="Cambria" w:hAnsi="Cambria"/>
          <w:b/>
          <w:i w:val="0"/>
          <w:color w:val="3A3A3A"/>
          <w:sz w:val="22"/>
        </w:rPr>
        <w:t xml:space="preserve">O2  </w:t>
      </w:r>
      <w:r>
        <w:rPr>
          <w:rFonts w:ascii="Cambria" w:hAnsi="Cambria"/>
          <w:b w:val="0"/>
          <w:i w:val="0"/>
          <w:color w:val="3A3A3A"/>
          <w:sz w:val="22"/>
        </w:rPr>
        <w:t>Build a department-scoped retrieval pipeline (RAG) over a knowledge base and historical resolved tickets, using pgvector for similarity search.</w:t>
      </w:r>
    </w:p>
    <w:p>
      <w:pPr>
        <w:pStyle w:val="ListNumber"/>
        <w:spacing w:after="80"/>
      </w:pPr>
      <w:r>
        <w:rPr>
          <w:rFonts w:ascii="Cambria" w:hAnsi="Cambria"/>
          <w:b/>
          <w:i w:val="0"/>
          <w:color w:val="3A3A3A"/>
          <w:sz w:val="22"/>
        </w:rPr>
        <w:t xml:space="preserve">O3  </w:t>
      </w:r>
      <w:r>
        <w:rPr>
          <w:rFonts w:ascii="Cambria" w:hAnsi="Cambria"/>
          <w:b w:val="0"/>
          <w:i w:val="0"/>
          <w:color w:val="3A3A3A"/>
          <w:sz w:val="22"/>
        </w:rPr>
        <w:t>Build a draft-generation step that produces a cited response constrained to retrieved evidence.</w:t>
      </w:r>
    </w:p>
    <w:p>
      <w:pPr>
        <w:pStyle w:val="ListNumber"/>
        <w:spacing w:after="80"/>
      </w:pPr>
      <w:r>
        <w:rPr>
          <w:rFonts w:ascii="Cambria" w:hAnsi="Cambria"/>
          <w:b/>
          <w:i w:val="0"/>
          <w:color w:val="3A3A3A"/>
          <w:sz w:val="22"/>
        </w:rPr>
        <w:t xml:space="preserve">O4  </w:t>
      </w:r>
      <w:r>
        <w:rPr>
          <w:rFonts w:ascii="Cambria" w:hAnsi="Cambria"/>
          <w:b w:val="0"/>
          <w:i w:val="0"/>
          <w:color w:val="3A3A3A"/>
          <w:sz w:val="22"/>
        </w:rPr>
        <w:t>Extract measurable reliability signals (retrieval relevance, ticket-resolution similarity, document freshness, OCR confidence where applicable, category risk) from the retrieval and ticket context.</w:t>
      </w:r>
    </w:p>
    <w:p>
      <w:pPr>
        <w:pStyle w:val="ListNumber"/>
        <w:spacing w:after="80"/>
      </w:pPr>
      <w:r>
        <w:rPr>
          <w:rFonts w:ascii="Cambria" w:hAnsi="Cambria"/>
          <w:b/>
          <w:i w:val="0"/>
          <w:color w:val="3A3A3A"/>
          <w:sz w:val="22"/>
        </w:rPr>
        <w:t xml:space="preserve">O5  </w:t>
      </w:r>
      <w:r>
        <w:rPr>
          <w:rFonts w:ascii="Cambria" w:hAnsi="Cambria"/>
          <w:b w:val="0"/>
          <w:i w:val="0"/>
          <w:color w:val="3A3A3A"/>
          <w:sz w:val="22"/>
        </w:rPr>
        <w:t>Train and evaluate a separate ML confidence model that estimates whether a draft is reliable enough for human-assisted resolution, using a configurable threshold to gate escalation.</w:t>
      </w:r>
    </w:p>
    <w:p>
      <w:pPr>
        <w:pStyle w:val="ListNumber"/>
        <w:spacing w:after="80"/>
      </w:pPr>
      <w:r>
        <w:rPr>
          <w:rFonts w:ascii="Cambria" w:hAnsi="Cambria"/>
          <w:b/>
          <w:i w:val="0"/>
          <w:color w:val="3A3A3A"/>
          <w:sz w:val="22"/>
        </w:rPr>
        <w:t xml:space="preserve">O6  </w:t>
      </w:r>
      <w:r>
        <w:rPr>
          <w:rFonts w:ascii="Cambria" w:hAnsi="Cambria"/>
          <w:b w:val="0"/>
          <w:i w:val="0"/>
          <w:color w:val="3A3A3A"/>
          <w:sz w:val="22"/>
        </w:rPr>
        <w:t>Build a human review interface where a department engineer can accept, edit, reject, or escalate every AI draft, with every decision logged.</w:t>
      </w:r>
    </w:p>
    <w:p>
      <w:pPr>
        <w:pStyle w:val="ListNumber"/>
        <w:spacing w:after="80"/>
      </w:pPr>
      <w:r>
        <w:rPr>
          <w:rFonts w:ascii="Cambria" w:hAnsi="Cambria"/>
          <w:b/>
          <w:i w:val="0"/>
          <w:color w:val="3A3A3A"/>
          <w:sz w:val="22"/>
        </w:rPr>
        <w:t xml:space="preserve">O7  </w:t>
      </w:r>
      <w:r>
        <w:rPr>
          <w:rFonts w:ascii="Cambria" w:hAnsi="Cambria"/>
          <w:b w:val="0"/>
          <w:i w:val="0"/>
          <w:color w:val="3A3A3A"/>
          <w:sz w:val="22"/>
        </w:rPr>
        <w:t>Evaluate the complete system: classification quality, retrieval quality, draft groundedness, confidence-model performance, and human-AI agreement — comparing the confidence-gated pipeline against a self-reported-confidence baseline.</w:t>
      </w:r>
    </w:p>
    <w:p>
      <w:pPr>
        <w:pStyle w:val="Heading1"/>
      </w:pPr>
      <w:r>
        <w:t>7. Scope of the Project</w:t>
      </w:r>
    </w:p>
    <w:tbl>
      <w:tblPr>
        <w:tblW w:type="auto" w:w="0"/>
        <w:jc w:val="center"/>
        <w:tblBorders>
          <w:top w:val="single" w:sz="4" w:color="D9B7B7"/>
          <w:left w:val="single" w:sz="4" w:color="D9B7B7"/>
          <w:bottom w:val="single" w:sz="4" w:color="D9B7B7"/>
          <w:right w:val="single" w:sz="4" w:color="D9B7B7"/>
          <w:insideH w:val="single" w:sz="4" w:color="D9B7B7"/>
          <w:insideV w:val="single" w:sz="4" w:color="D9B7B7"/>
        </w:tblBorders>
        <w:tblLayout w:type="fixed"/>
        <w:tblLook w:firstColumn="1" w:firstRow="1" w:lastColumn="0" w:lastRow="0" w:noHBand="0" w:noVBand="1" w:val="04A0"/>
      </w:tblPr>
      <w:tblGrid>
        <w:gridCol w:w="10440"/>
      </w:tblGrid>
      <w:tr>
        <w:tc>
          <w:tcPr>
            <w:tcW w:type="dxa" w:w="10440"/>
            <w:shd w:val="clear" w:fill="FBEEEE"/>
          </w:tcPr>
          <w:p>
            <w:pPr>
              <w:spacing w:after="80"/>
            </w:pPr>
            <w:r>
              <w:rPr>
                <w:rFonts w:ascii="Cambria" w:hAnsi="Cambria"/>
                <w:b/>
                <w:i w:val="0"/>
                <w:color w:val="7A0000"/>
                <w:sz w:val="22"/>
              </w:rPr>
              <w:t>IN SCOPE</w:t>
            </w:r>
          </w:p>
          <w:p>
            <w:pPr>
              <w:spacing w:after="80"/>
            </w:pPr>
            <w:r>
              <w:rPr>
                <w:rFonts w:ascii="Cambria" w:hAnsi="Cambria"/>
                <w:b w:val="0"/>
                <w:i w:val="0"/>
                <w:color w:val="3A3A3A"/>
                <w:sz w:val="21"/>
              </w:rPr>
              <w:t>Text ticket submission plus one optional attachment (image, PDF, or log file).</w:t>
            </w:r>
          </w:p>
          <w:p>
            <w:pPr>
              <w:spacing w:after="80"/>
            </w:pPr>
            <w:r>
              <w:rPr>
                <w:rFonts w:ascii="Cambria" w:hAnsi="Cambria"/>
                <w:b w:val="0"/>
                <w:i w:val="0"/>
                <w:color w:val="3A3A3A"/>
                <w:sz w:val="21"/>
              </w:rPr>
              <w:t>Classification by department, priority, and sentiment.</w:t>
            </w:r>
          </w:p>
          <w:p>
            <w:pPr>
              <w:spacing w:after="80"/>
            </w:pPr>
            <w:r>
              <w:rPr>
                <w:rFonts w:ascii="Cambria" w:hAnsi="Cambria"/>
                <w:b w:val="0"/>
                <w:i w:val="0"/>
                <w:color w:val="3A3A3A"/>
                <w:sz w:val="21"/>
              </w:rPr>
              <w:t>Department-scoped RAG retrieval over a knowledge base and historical resolved tickets.</w:t>
            </w:r>
          </w:p>
          <w:p>
            <w:pPr>
              <w:spacing w:after="80"/>
            </w:pPr>
            <w:r>
              <w:rPr>
                <w:rFonts w:ascii="Cambria" w:hAnsi="Cambria"/>
                <w:b w:val="0"/>
                <w:i w:val="0"/>
                <w:color w:val="3A3A3A"/>
                <w:sz w:val="21"/>
              </w:rPr>
              <w:t>Cited, evidence-grounded draft generation.</w:t>
            </w:r>
          </w:p>
          <w:p>
            <w:pPr>
              <w:spacing w:after="80"/>
            </w:pPr>
            <w:r>
              <w:rPr>
                <w:rFonts w:ascii="Cambria" w:hAnsi="Cambria"/>
                <w:b w:val="0"/>
                <w:i w:val="0"/>
                <w:color w:val="3A3A3A"/>
                <w:sz w:val="21"/>
              </w:rPr>
              <w:t>A trained confidence model and configurable confidence-gate threshold.</w:t>
            </w:r>
          </w:p>
          <w:p>
            <w:pPr>
              <w:spacing w:after="80"/>
            </w:pPr>
            <w:r>
              <w:rPr>
                <w:rFonts w:ascii="Cambria" w:hAnsi="Cambria"/>
                <w:b w:val="0"/>
                <w:i w:val="0"/>
                <w:color w:val="3A3A3A"/>
                <w:sz w:val="21"/>
              </w:rPr>
              <w:t>A human review interface (Accept / Edit / Reject / Escalate) for the Department Engineer role.</w:t>
            </w:r>
          </w:p>
          <w:p>
            <w:pPr>
              <w:spacing w:after="80"/>
            </w:pPr>
            <w:r>
              <w:rPr>
                <w:rFonts w:ascii="Cambria" w:hAnsi="Cambria"/>
                <w:b w:val="0"/>
                <w:i w:val="0"/>
                <w:color w:val="3A3A3A"/>
                <w:sz w:val="21"/>
              </w:rPr>
              <w:t>Feedback logging and basic system-level analytics.</w:t>
            </w:r>
          </w:p>
          <w:p>
            <w:pPr>
              <w:spacing w:after="80"/>
            </w:pPr>
            <w:r>
              <w:rPr>
                <w:rFonts w:ascii="Cambria" w:hAnsi="Cambria"/>
                <w:b w:val="0"/>
                <w:i w:val="0"/>
                <w:color w:val="3A3A3A"/>
                <w:sz w:val="21"/>
              </w:rPr>
              <w:t>Exactly three user roles: End User, Department Engineer, Admin.</w:t>
            </w:r>
          </w:p>
        </w:tc>
      </w:tr>
    </w:tbl>
    <w:p>
      <w:pPr>
        <w:spacing w:after="40"/>
      </w:pPr>
    </w:p>
    <w:tbl>
      <w:tblPr>
        <w:tblW w:type="auto" w:w="0"/>
        <w:jc w:val="center"/>
        <w:tblBorders>
          <w:top w:val="single" w:sz="4" w:color="D9B7B7"/>
          <w:left w:val="single" w:sz="4" w:color="D9B7B7"/>
          <w:bottom w:val="single" w:sz="4" w:color="D9B7B7"/>
          <w:right w:val="single" w:sz="4" w:color="D9B7B7"/>
          <w:insideH w:val="single" w:sz="4" w:color="D9B7B7"/>
          <w:insideV w:val="single" w:sz="4" w:color="D9B7B7"/>
        </w:tblBorders>
        <w:tblLayout w:type="fixed"/>
        <w:tblLook w:firstColumn="1" w:firstRow="1" w:lastColumn="0" w:lastRow="0" w:noHBand="0" w:noVBand="1" w:val="04A0"/>
      </w:tblPr>
      <w:tblGrid>
        <w:gridCol w:w="10440"/>
      </w:tblGrid>
      <w:tr>
        <w:tc>
          <w:tcPr>
            <w:tcW w:type="dxa" w:w="10440"/>
            <w:shd w:val="clear" w:fill="FBEEEE"/>
          </w:tcPr>
          <w:p>
            <w:pPr>
              <w:spacing w:after="80"/>
            </w:pPr>
            <w:r>
              <w:rPr>
                <w:rFonts w:ascii="Cambria" w:hAnsi="Cambria"/>
                <w:b/>
                <w:i w:val="0"/>
                <w:color w:val="7A0000"/>
                <w:sz w:val="22"/>
              </w:rPr>
              <w:t>OUT OF SCOPE (explicitly, to protect the 12-week timeline)</w:t>
            </w:r>
          </w:p>
          <w:p>
            <w:pPr>
              <w:spacing w:after="80"/>
            </w:pPr>
            <w:r>
              <w:rPr>
                <w:rFonts w:ascii="Cambria" w:hAnsi="Cambria"/>
                <w:b w:val="0"/>
                <w:i w:val="0"/>
                <w:color w:val="3A3A3A"/>
                <w:sz w:val="21"/>
              </w:rPr>
              <w:t>Kubernetes, Celery, RabbitMQ, Redis, and other production message-queue/orchestration infrastructure.</w:t>
            </w:r>
          </w:p>
          <w:p>
            <w:pPr>
              <w:spacing w:after="80"/>
            </w:pPr>
            <w:r>
              <w:rPr>
                <w:rFonts w:ascii="Cambria" w:hAnsi="Cambria"/>
                <w:b w:val="0"/>
                <w:i w:val="0"/>
                <w:color w:val="3A3A3A"/>
                <w:sz w:val="21"/>
              </w:rPr>
              <w:t>Cloud deployment, multi-tenancy, and large-scale enterprise ITSM integrations.</w:t>
            </w:r>
          </w:p>
          <w:p>
            <w:pPr>
              <w:spacing w:after="80"/>
            </w:pPr>
            <w:r>
              <w:rPr>
                <w:rFonts w:ascii="Cambria" w:hAnsi="Cambria"/>
                <w:b w:val="0"/>
                <w:i w:val="0"/>
                <w:color w:val="3A3A3A"/>
                <w:sz w:val="21"/>
              </w:rPr>
              <w:t>Voice/telephone ticket intake and major-incident clustering across tickets.</w:t>
            </w:r>
          </w:p>
          <w:p>
            <w:pPr>
              <w:spacing w:after="80"/>
            </w:pPr>
            <w:r>
              <w:rPr>
                <w:rFonts w:ascii="Cambria" w:hAnsi="Cambria"/>
                <w:b w:val="0"/>
                <w:i w:val="0"/>
                <w:color w:val="3A3A3A"/>
                <w:sz w:val="21"/>
              </w:rPr>
              <w:t>Additional user roles beyond End User, Department Engineer, and Admin.</w:t>
            </w:r>
          </w:p>
          <w:p>
            <w:pPr>
              <w:spacing w:after="80"/>
            </w:pPr>
            <w:r>
              <w:rPr>
                <w:rFonts w:ascii="Cambria" w:hAnsi="Cambria"/>
                <w:b w:val="0"/>
                <w:i w:val="0"/>
                <w:color w:val="3A3A3A"/>
                <w:sz w:val="21"/>
              </w:rPr>
              <w:t>Fully autonomous resolution — a human always makes the final response decision.</w:t>
            </w:r>
          </w:p>
        </w:tc>
      </w:tr>
    </w:tbl>
    <w:p>
      <w:pPr>
        <w:spacing w:after="40"/>
      </w:pPr>
    </w:p>
    <w:p>
      <w:pPr>
        <w:pStyle w:val="Heading1"/>
      </w:pPr>
      <w:r>
        <w:t>8. Solution Strategy</w:t>
      </w:r>
    </w:p>
    <w:p>
      <w:pPr>
        <w:spacing w:after="160"/>
      </w:pPr>
      <w:r>
        <w:rPr>
          <w:rFonts w:ascii="Cambria" w:hAnsi="Cambria"/>
          <w:b w:val="0"/>
          <w:i w:val="0"/>
          <w:color w:val="3A3A3A"/>
          <w:sz w:val="22"/>
        </w:rPr>
        <w:t>The strategy is to assemble proven, well-documented components — RAG, sentence embeddings, LangGraph orchestration, gradient-boosted classifiers — into one coherent pipeline, and to put the real engineering and evaluation effort into two places: the feature engineering and calibration of the independent confidence model, and the end-to-end integration of classification, retrieval, drafting, confidence-gating, and human review as a single evaluated workflow, rather than as disconnected demos of each piece.</w:t>
      </w:r>
    </w:p>
    <w:p>
      <w:pPr>
        <w:pStyle w:val="Heading1"/>
      </w:pPr>
      <w:r>
        <w:t>9. System / Method Pipeline</w:t>
      </w:r>
    </w:p>
    <w:p>
      <w:pPr>
        <w:spacing w:after="160"/>
      </w:pPr>
      <w:r>
        <w:rPr>
          <w:rFonts w:ascii="Cambria" w:hAnsi="Cambria"/>
          <w:b w:val="0"/>
          <w:i w:val="0"/>
          <w:color w:val="3A3A3A"/>
          <w:sz w:val="22"/>
        </w:rPr>
        <w:t>The system processes every ticket through the following stages:</w:t>
      </w:r>
    </w:p>
    <w:tbl>
      <w:tblPr>
        <w:tblW w:type="auto" w:w="0"/>
        <w:jc w:val="center"/>
        <w:tblBorders>
          <w:top w:val="single" w:sz="4" w:color="D9B7B7"/>
          <w:left w:val="single" w:sz="4" w:color="D9B7B7"/>
          <w:bottom w:val="single" w:sz="4" w:color="D9B7B7"/>
          <w:right w:val="single" w:sz="4" w:color="D9B7B7"/>
          <w:insideH w:val="single" w:sz="4" w:color="D9B7B7"/>
          <w:insideV w:val="single" w:sz="4" w:color="D9B7B7"/>
        </w:tblBorders>
        <w:tblLayout w:type="fixed"/>
        <w:tblLook w:firstColumn="1" w:firstRow="1" w:lastColumn="0" w:lastRow="0" w:noHBand="0" w:noVBand="1" w:val="04A0"/>
      </w:tblPr>
      <w:tblGrid>
        <w:gridCol w:w="10440"/>
      </w:tblGrid>
      <w:tr>
        <w:tc>
          <w:tcPr>
            <w:tcW w:type="dxa" w:w="10440"/>
            <w:shd w:val="clear" w:fill="FBEEEE"/>
          </w:tcPr>
          <w:p>
            <w:pPr>
              <w:spacing w:after="80"/>
            </w:pPr>
            <w:r>
              <w:rPr>
                <w:rFonts w:ascii="Cambria" w:hAnsi="Cambria"/>
                <w:b/>
                <w:i w:val="0"/>
                <w:color w:val="7A0000"/>
                <w:sz w:val="22"/>
              </w:rPr>
              <w:t>Stage 1 — Ticket Intake</w:t>
            </w:r>
          </w:p>
          <w:p>
            <w:pPr>
              <w:spacing w:after="80"/>
            </w:pPr>
            <w:r>
              <w:rPr>
                <w:rFonts w:ascii="Cambria" w:hAnsi="Cambria"/>
                <w:b w:val="0"/>
                <w:i w:val="0"/>
                <w:color w:val="3A3A3A"/>
                <w:sz w:val="21"/>
              </w:rPr>
              <w:t>A user submits ticket text and, optionally, one attachment. The intake step normalises this into a structured ticket record.</w:t>
            </w:r>
          </w:p>
        </w:tc>
      </w:tr>
    </w:tbl>
    <w:p>
      <w:pPr>
        <w:spacing w:after="40"/>
      </w:pPr>
    </w:p>
    <w:tbl>
      <w:tblPr>
        <w:tblW w:type="auto" w:w="0"/>
        <w:jc w:val="center"/>
        <w:tblBorders>
          <w:top w:val="single" w:sz="4" w:color="D9B7B7"/>
          <w:left w:val="single" w:sz="4" w:color="D9B7B7"/>
          <w:bottom w:val="single" w:sz="4" w:color="D9B7B7"/>
          <w:right w:val="single" w:sz="4" w:color="D9B7B7"/>
          <w:insideH w:val="single" w:sz="4" w:color="D9B7B7"/>
          <w:insideV w:val="single" w:sz="4" w:color="D9B7B7"/>
        </w:tblBorders>
        <w:tblLayout w:type="fixed"/>
        <w:tblLook w:firstColumn="1" w:firstRow="1" w:lastColumn="0" w:lastRow="0" w:noHBand="0" w:noVBand="1" w:val="04A0"/>
      </w:tblPr>
      <w:tblGrid>
        <w:gridCol w:w="10440"/>
      </w:tblGrid>
      <w:tr>
        <w:tc>
          <w:tcPr>
            <w:tcW w:type="dxa" w:w="10440"/>
            <w:shd w:val="clear" w:fill="FBEEEE"/>
          </w:tcPr>
          <w:p>
            <w:pPr>
              <w:spacing w:after="80"/>
            </w:pPr>
            <w:r>
              <w:rPr>
                <w:rFonts w:ascii="Cambria" w:hAnsi="Cambria"/>
                <w:b/>
                <w:i w:val="0"/>
                <w:color w:val="7A0000"/>
                <w:sz w:val="22"/>
              </w:rPr>
              <w:t>Stage 2 — Classification</w:t>
            </w:r>
          </w:p>
          <w:p>
            <w:pPr>
              <w:spacing w:after="80"/>
            </w:pPr>
            <w:r>
              <w:rPr>
                <w:rFonts w:ascii="Cambria" w:hAnsi="Cambria"/>
                <w:b w:val="0"/>
                <w:i w:val="0"/>
                <w:color w:val="3A3A3A"/>
                <w:sz w:val="21"/>
              </w:rPr>
              <w:t>The ticket is classified by department, priority, and sentiment using a trained model.</w:t>
            </w:r>
          </w:p>
        </w:tc>
      </w:tr>
    </w:tbl>
    <w:p>
      <w:pPr>
        <w:spacing w:after="40"/>
      </w:pPr>
    </w:p>
    <w:tbl>
      <w:tblPr>
        <w:tblW w:type="auto" w:w="0"/>
        <w:jc w:val="center"/>
        <w:tblBorders>
          <w:top w:val="single" w:sz="4" w:color="D9B7B7"/>
          <w:left w:val="single" w:sz="4" w:color="D9B7B7"/>
          <w:bottom w:val="single" w:sz="4" w:color="D9B7B7"/>
          <w:right w:val="single" w:sz="4" w:color="D9B7B7"/>
          <w:insideH w:val="single" w:sz="4" w:color="D9B7B7"/>
          <w:insideV w:val="single" w:sz="4" w:color="D9B7B7"/>
        </w:tblBorders>
        <w:tblLayout w:type="fixed"/>
        <w:tblLook w:firstColumn="1" w:firstRow="1" w:lastColumn="0" w:lastRow="0" w:noHBand="0" w:noVBand="1" w:val="04A0"/>
      </w:tblPr>
      <w:tblGrid>
        <w:gridCol w:w="10440"/>
      </w:tblGrid>
      <w:tr>
        <w:tc>
          <w:tcPr>
            <w:tcW w:type="dxa" w:w="10440"/>
            <w:shd w:val="clear" w:fill="FBEEEE"/>
          </w:tcPr>
          <w:p>
            <w:pPr>
              <w:spacing w:after="80"/>
            </w:pPr>
            <w:r>
              <w:rPr>
                <w:rFonts w:ascii="Cambria" w:hAnsi="Cambria"/>
                <w:b/>
                <w:i w:val="0"/>
                <w:color w:val="7A0000"/>
                <w:sz w:val="22"/>
              </w:rPr>
              <w:t>Stage 3 — Routing</w:t>
            </w:r>
          </w:p>
          <w:p>
            <w:pPr>
              <w:spacing w:after="80"/>
            </w:pPr>
            <w:r>
              <w:rPr>
                <w:rFonts w:ascii="Cambria" w:hAnsi="Cambria"/>
                <w:b w:val="0"/>
                <w:i w:val="0"/>
                <w:color w:val="3A3A3A"/>
                <w:sz w:val="21"/>
              </w:rPr>
              <w:t>The ticket is assigned to the correct department queue based on the classification output.</w:t>
            </w:r>
          </w:p>
        </w:tc>
      </w:tr>
    </w:tbl>
    <w:p>
      <w:pPr>
        <w:spacing w:after="40"/>
      </w:pPr>
    </w:p>
    <w:tbl>
      <w:tblPr>
        <w:tblW w:type="auto" w:w="0"/>
        <w:jc w:val="center"/>
        <w:tblBorders>
          <w:top w:val="single" w:sz="4" w:color="D9B7B7"/>
          <w:left w:val="single" w:sz="4" w:color="D9B7B7"/>
          <w:bottom w:val="single" w:sz="4" w:color="D9B7B7"/>
          <w:right w:val="single" w:sz="4" w:color="D9B7B7"/>
          <w:insideH w:val="single" w:sz="4" w:color="D9B7B7"/>
          <w:insideV w:val="single" w:sz="4" w:color="D9B7B7"/>
        </w:tblBorders>
        <w:tblLayout w:type="fixed"/>
        <w:tblLook w:firstColumn="1" w:firstRow="1" w:lastColumn="0" w:lastRow="0" w:noHBand="0" w:noVBand="1" w:val="04A0"/>
      </w:tblPr>
      <w:tblGrid>
        <w:gridCol w:w="10440"/>
      </w:tblGrid>
      <w:tr>
        <w:tc>
          <w:tcPr>
            <w:tcW w:type="dxa" w:w="10440"/>
            <w:shd w:val="clear" w:fill="FBEEEE"/>
          </w:tcPr>
          <w:p>
            <w:pPr>
              <w:spacing w:after="80"/>
            </w:pPr>
            <w:r>
              <w:rPr>
                <w:rFonts w:ascii="Cambria" w:hAnsi="Cambria"/>
                <w:b/>
                <w:i w:val="0"/>
                <w:color w:val="7A0000"/>
                <w:sz w:val="22"/>
              </w:rPr>
              <w:t>Stage 4 — Department-Scoped Retrieval</w:t>
            </w:r>
          </w:p>
          <w:p>
            <w:pPr>
              <w:spacing w:after="80"/>
            </w:pPr>
            <w:r>
              <w:rPr>
                <w:rFonts w:ascii="Cambria" w:hAnsi="Cambria"/>
                <w:b w:val="0"/>
                <w:i w:val="0"/>
                <w:color w:val="3A3A3A"/>
                <w:sz w:val="21"/>
              </w:rPr>
              <w:t>The system searches the knowledge base and historical resolved tickets for that department only, using vector similarity search (RAG), so retrieval never surfaces another department's content.</w:t>
            </w:r>
          </w:p>
        </w:tc>
      </w:tr>
    </w:tbl>
    <w:p>
      <w:pPr>
        <w:spacing w:after="40"/>
      </w:pPr>
    </w:p>
    <w:tbl>
      <w:tblPr>
        <w:tblW w:type="auto" w:w="0"/>
        <w:jc w:val="center"/>
        <w:tblBorders>
          <w:top w:val="single" w:sz="4" w:color="D9B7B7"/>
          <w:left w:val="single" w:sz="4" w:color="D9B7B7"/>
          <w:bottom w:val="single" w:sz="4" w:color="D9B7B7"/>
          <w:right w:val="single" w:sz="4" w:color="D9B7B7"/>
          <w:insideH w:val="single" w:sz="4" w:color="D9B7B7"/>
          <w:insideV w:val="single" w:sz="4" w:color="D9B7B7"/>
        </w:tblBorders>
        <w:tblLayout w:type="fixed"/>
        <w:tblLook w:firstColumn="1" w:firstRow="1" w:lastColumn="0" w:lastRow="0" w:noHBand="0" w:noVBand="1" w:val="04A0"/>
      </w:tblPr>
      <w:tblGrid>
        <w:gridCol w:w="10440"/>
      </w:tblGrid>
      <w:tr>
        <w:tc>
          <w:tcPr>
            <w:tcW w:type="dxa" w:w="10440"/>
            <w:shd w:val="clear" w:fill="FBEEEE"/>
          </w:tcPr>
          <w:p>
            <w:pPr>
              <w:spacing w:after="80"/>
            </w:pPr>
            <w:r>
              <w:rPr>
                <w:rFonts w:ascii="Cambria" w:hAnsi="Cambria"/>
                <w:b/>
                <w:i w:val="0"/>
                <w:color w:val="7A0000"/>
                <w:sz w:val="22"/>
              </w:rPr>
              <w:t>Stage 5 — Evidence-Grounded Draft Generation</w:t>
            </w:r>
          </w:p>
          <w:p>
            <w:pPr>
              <w:spacing w:after="80"/>
            </w:pPr>
            <w:r>
              <w:rPr>
                <w:rFonts w:ascii="Cambria" w:hAnsi="Cambria"/>
                <w:b w:val="0"/>
                <w:i w:val="0"/>
                <w:color w:val="3A3A3A"/>
                <w:sz w:val="21"/>
              </w:rPr>
              <w:t>An LLM drafts a response constrained to the retrieved passages, with each claim traceable to a specific source.</w:t>
            </w:r>
          </w:p>
        </w:tc>
      </w:tr>
    </w:tbl>
    <w:p>
      <w:pPr>
        <w:spacing w:after="40"/>
      </w:pPr>
    </w:p>
    <w:tbl>
      <w:tblPr>
        <w:tblW w:type="auto" w:w="0"/>
        <w:jc w:val="center"/>
        <w:tblBorders>
          <w:top w:val="single" w:sz="4" w:color="D9B7B7"/>
          <w:left w:val="single" w:sz="4" w:color="D9B7B7"/>
          <w:bottom w:val="single" w:sz="4" w:color="D9B7B7"/>
          <w:right w:val="single" w:sz="4" w:color="D9B7B7"/>
          <w:insideH w:val="single" w:sz="4" w:color="D9B7B7"/>
          <w:insideV w:val="single" w:sz="4" w:color="D9B7B7"/>
        </w:tblBorders>
        <w:tblLayout w:type="fixed"/>
        <w:tblLook w:firstColumn="1" w:firstRow="1" w:lastColumn="0" w:lastRow="0" w:noHBand="0" w:noVBand="1" w:val="04A0"/>
      </w:tblPr>
      <w:tblGrid>
        <w:gridCol w:w="10440"/>
      </w:tblGrid>
      <w:tr>
        <w:tc>
          <w:tcPr>
            <w:tcW w:type="dxa" w:w="10440"/>
            <w:shd w:val="clear" w:fill="FBEEEE"/>
          </w:tcPr>
          <w:p>
            <w:pPr>
              <w:spacing w:after="80"/>
            </w:pPr>
            <w:r>
              <w:rPr>
                <w:rFonts w:ascii="Cambria" w:hAnsi="Cambria"/>
                <w:b/>
                <w:i w:val="0"/>
                <w:color w:val="7A0000"/>
                <w:sz w:val="22"/>
              </w:rPr>
              <w:t>Stage 6 — Reliability Signal Extraction</w:t>
            </w:r>
          </w:p>
          <w:p>
            <w:pPr>
              <w:spacing w:after="80"/>
            </w:pPr>
            <w:r>
              <w:rPr>
                <w:rFonts w:ascii="Cambria" w:hAnsi="Cambria"/>
                <w:b w:val="0"/>
                <w:i w:val="0"/>
                <w:color w:val="3A3A3A"/>
                <w:sz w:val="21"/>
              </w:rPr>
              <w:t>Measurable features are computed: retrieval relevance, similarity to the best-matching resolved ticket, document freshness, OCR confidence (if an attachment was processed), and category risk.</w:t>
            </w:r>
          </w:p>
        </w:tc>
      </w:tr>
    </w:tbl>
    <w:p>
      <w:pPr>
        <w:spacing w:after="40"/>
      </w:pPr>
    </w:p>
    <w:tbl>
      <w:tblPr>
        <w:tblW w:type="auto" w:w="0"/>
        <w:jc w:val="center"/>
        <w:tblBorders>
          <w:top w:val="single" w:sz="4" w:color="D9B7B7"/>
          <w:left w:val="single" w:sz="4" w:color="D9B7B7"/>
          <w:bottom w:val="single" w:sz="4" w:color="D9B7B7"/>
          <w:right w:val="single" w:sz="4" w:color="D9B7B7"/>
          <w:insideH w:val="single" w:sz="4" w:color="D9B7B7"/>
          <w:insideV w:val="single" w:sz="4" w:color="D9B7B7"/>
        </w:tblBorders>
        <w:tblLayout w:type="fixed"/>
        <w:tblLook w:firstColumn="1" w:firstRow="1" w:lastColumn="0" w:lastRow="0" w:noHBand="0" w:noVBand="1" w:val="04A0"/>
      </w:tblPr>
      <w:tblGrid>
        <w:gridCol w:w="10440"/>
      </w:tblGrid>
      <w:tr>
        <w:tc>
          <w:tcPr>
            <w:tcW w:type="dxa" w:w="10440"/>
            <w:shd w:val="clear" w:fill="FBEEEE"/>
          </w:tcPr>
          <w:p>
            <w:pPr>
              <w:spacing w:after="80"/>
            </w:pPr>
            <w:r>
              <w:rPr>
                <w:rFonts w:ascii="Cambria" w:hAnsi="Cambria"/>
                <w:b/>
                <w:i w:val="0"/>
                <w:color w:val="7A0000"/>
                <w:sz w:val="22"/>
              </w:rPr>
              <w:t>Stage 7 — Independent Confidence Model</w:t>
            </w:r>
          </w:p>
          <w:p>
            <w:pPr>
              <w:spacing w:after="80"/>
            </w:pPr>
            <w:r>
              <w:rPr>
                <w:rFonts w:ascii="Cambria" w:hAnsi="Cambria"/>
                <w:b w:val="0"/>
                <w:i w:val="0"/>
                <w:color w:val="3A3A3A"/>
                <w:sz w:val="21"/>
              </w:rPr>
              <w:t>A separately trained ML model — not the LLM — consumes these features and outputs a confidence/risk estimate.</w:t>
            </w:r>
          </w:p>
        </w:tc>
      </w:tr>
    </w:tbl>
    <w:p>
      <w:pPr>
        <w:spacing w:after="40"/>
      </w:pPr>
    </w:p>
    <w:tbl>
      <w:tblPr>
        <w:tblW w:type="auto" w:w="0"/>
        <w:jc w:val="center"/>
        <w:tblBorders>
          <w:top w:val="single" w:sz="4" w:color="D9B7B7"/>
          <w:left w:val="single" w:sz="4" w:color="D9B7B7"/>
          <w:bottom w:val="single" w:sz="4" w:color="D9B7B7"/>
          <w:right w:val="single" w:sz="4" w:color="D9B7B7"/>
          <w:insideH w:val="single" w:sz="4" w:color="D9B7B7"/>
          <w:insideV w:val="single" w:sz="4" w:color="D9B7B7"/>
        </w:tblBorders>
        <w:tblLayout w:type="fixed"/>
        <w:tblLook w:firstColumn="1" w:firstRow="1" w:lastColumn="0" w:lastRow="0" w:noHBand="0" w:noVBand="1" w:val="04A0"/>
      </w:tblPr>
      <w:tblGrid>
        <w:gridCol w:w="10440"/>
      </w:tblGrid>
      <w:tr>
        <w:tc>
          <w:tcPr>
            <w:tcW w:type="dxa" w:w="10440"/>
            <w:shd w:val="clear" w:fill="FBEEEE"/>
          </w:tcPr>
          <w:p>
            <w:pPr>
              <w:spacing w:after="80"/>
            </w:pPr>
            <w:r>
              <w:rPr>
                <w:rFonts w:ascii="Cambria" w:hAnsi="Cambria"/>
                <w:b/>
                <w:i w:val="0"/>
                <w:color w:val="7A0000"/>
                <w:sz w:val="22"/>
              </w:rPr>
              <w:t>Stage 8 — Confidence Gate</w:t>
            </w:r>
          </w:p>
          <w:p>
            <w:pPr>
              <w:spacing w:after="80"/>
            </w:pPr>
            <w:r>
              <w:rPr>
                <w:rFonts w:ascii="Cambria" w:hAnsi="Cambria"/>
                <w:b w:val="0"/>
                <w:i w:val="0"/>
                <w:color w:val="3A3A3A"/>
                <w:sz w:val="21"/>
              </w:rPr>
              <w:t>If the confidence estimate meets or exceeds a configurable threshold, the draft is shown to a Department Engineer for review. If it falls short, the ticket is escalated to a human without an AI draft attached.</w:t>
            </w:r>
          </w:p>
        </w:tc>
      </w:tr>
    </w:tbl>
    <w:p>
      <w:pPr>
        <w:spacing w:after="40"/>
      </w:pPr>
    </w:p>
    <w:tbl>
      <w:tblPr>
        <w:tblW w:type="auto" w:w="0"/>
        <w:jc w:val="center"/>
        <w:tblBorders>
          <w:top w:val="single" w:sz="4" w:color="D9B7B7"/>
          <w:left w:val="single" w:sz="4" w:color="D9B7B7"/>
          <w:bottom w:val="single" w:sz="4" w:color="D9B7B7"/>
          <w:right w:val="single" w:sz="4" w:color="D9B7B7"/>
          <w:insideH w:val="single" w:sz="4" w:color="D9B7B7"/>
          <w:insideV w:val="single" w:sz="4" w:color="D9B7B7"/>
        </w:tblBorders>
        <w:tblLayout w:type="fixed"/>
        <w:tblLook w:firstColumn="1" w:firstRow="1" w:lastColumn="0" w:lastRow="0" w:noHBand="0" w:noVBand="1" w:val="04A0"/>
      </w:tblPr>
      <w:tblGrid>
        <w:gridCol w:w="10440"/>
      </w:tblGrid>
      <w:tr>
        <w:tc>
          <w:tcPr>
            <w:tcW w:type="dxa" w:w="10440"/>
            <w:shd w:val="clear" w:fill="FBEEEE"/>
          </w:tcPr>
          <w:p>
            <w:pPr>
              <w:spacing w:after="80"/>
            </w:pPr>
            <w:r>
              <w:rPr>
                <w:rFonts w:ascii="Cambria" w:hAnsi="Cambria"/>
                <w:b/>
                <w:i w:val="0"/>
                <w:color w:val="7A0000"/>
                <w:sz w:val="22"/>
              </w:rPr>
              <w:t>Stage 9 — Human Review or Escalation</w:t>
            </w:r>
          </w:p>
          <w:p>
            <w:pPr>
              <w:spacing w:after="80"/>
            </w:pPr>
            <w:r>
              <w:rPr>
                <w:rFonts w:ascii="Cambria" w:hAnsi="Cambria"/>
                <w:b w:val="0"/>
                <w:i w:val="0"/>
                <w:color w:val="3A3A3A"/>
                <w:sz w:val="21"/>
              </w:rPr>
              <w:t>The engineer accepts, edits, rejects, or escalates the draft (high-confidence path), or investigates directly (low-confidence path), and submits the final response.</w:t>
            </w:r>
          </w:p>
        </w:tc>
      </w:tr>
    </w:tbl>
    <w:p>
      <w:pPr>
        <w:spacing w:after="40"/>
      </w:pPr>
    </w:p>
    <w:tbl>
      <w:tblPr>
        <w:tblW w:type="auto" w:w="0"/>
        <w:jc w:val="center"/>
        <w:tblBorders>
          <w:top w:val="single" w:sz="4" w:color="D9B7B7"/>
          <w:left w:val="single" w:sz="4" w:color="D9B7B7"/>
          <w:bottom w:val="single" w:sz="4" w:color="D9B7B7"/>
          <w:right w:val="single" w:sz="4" w:color="D9B7B7"/>
          <w:insideH w:val="single" w:sz="4" w:color="D9B7B7"/>
          <w:insideV w:val="single" w:sz="4" w:color="D9B7B7"/>
        </w:tblBorders>
        <w:tblLayout w:type="fixed"/>
        <w:tblLook w:firstColumn="1" w:firstRow="1" w:lastColumn="0" w:lastRow="0" w:noHBand="0" w:noVBand="1" w:val="04A0"/>
      </w:tblPr>
      <w:tblGrid>
        <w:gridCol w:w="10440"/>
      </w:tblGrid>
      <w:tr>
        <w:tc>
          <w:tcPr>
            <w:tcW w:type="dxa" w:w="10440"/>
            <w:shd w:val="clear" w:fill="FBEEEE"/>
          </w:tcPr>
          <w:p>
            <w:pPr>
              <w:spacing w:after="80"/>
            </w:pPr>
            <w:r>
              <w:rPr>
                <w:rFonts w:ascii="Cambria" w:hAnsi="Cambria"/>
                <w:b/>
                <w:i w:val="0"/>
                <w:color w:val="7A0000"/>
                <w:sz w:val="22"/>
              </w:rPr>
              <w:t>Stage 10 — Feedback and Evaluation</w:t>
            </w:r>
          </w:p>
          <w:p>
            <w:pPr>
              <w:spacing w:after="80"/>
            </w:pPr>
            <w:r>
              <w:rPr>
                <w:rFonts w:ascii="Cambria" w:hAnsi="Cambria"/>
                <w:b w:val="0"/>
                <w:i w:val="0"/>
                <w:color w:val="3A3A3A"/>
                <w:sz w:val="21"/>
              </w:rPr>
              <w:t>Every human decision is logged. The similarity between the AI draft and the final human response is used to evaluate and retrain the confidence model, and persistently low retrieval scores in a category flag a knowledge-base gap.</w:t>
            </w:r>
          </w:p>
        </w:tc>
      </w:tr>
    </w:tbl>
    <w:p>
      <w:pPr>
        <w:spacing w:after="40"/>
      </w:pPr>
    </w:p>
    <w:p>
      <w:pPr>
        <w:pStyle w:val="Heading1"/>
      </w:pPr>
      <w:r>
        <w:t>10. Architecture and Major Components</w:t>
      </w:r>
    </w:p>
    <w:tbl>
      <w:tblPr>
        <w:tblW w:type="auto" w:w="0"/>
        <w:jc w:val="center"/>
        <w:tblBorders>
          <w:top w:val="single" w:sz="4" w:color="D9B7B7"/>
          <w:left w:val="single" w:sz="4" w:color="D9B7B7"/>
          <w:bottom w:val="single" w:sz="4" w:color="D9B7B7"/>
          <w:right w:val="single" w:sz="4" w:color="D9B7B7"/>
          <w:insideH w:val="single" w:sz="4" w:color="D9B7B7"/>
          <w:insideV w:val="single" w:sz="4" w:color="D9B7B7"/>
        </w:tblBorders>
        <w:tblLayout w:type="fixed"/>
        <w:tblLook w:firstColumn="1" w:firstRow="1" w:lastColumn="0" w:lastRow="0" w:noHBand="0" w:noVBand="1" w:val="04A0"/>
      </w:tblPr>
      <w:tblGrid>
        <w:gridCol w:w="3480"/>
        <w:gridCol w:w="3480"/>
        <w:gridCol w:w="3480"/>
      </w:tblGrid>
      <w:tr>
        <w:tc>
          <w:tcPr>
            <w:tcW w:type="dxa" w:w="1872"/>
            <w:shd w:val="clear" w:fill="C00000"/>
          </w:tcPr>
          <w:p>
            <w:r>
              <w:rPr>
                <w:rFonts w:ascii="Cambria" w:hAnsi="Cambria"/>
                <w:b/>
                <w:i w:val="0"/>
                <w:color w:val="FFFFFF"/>
                <w:sz w:val="21"/>
              </w:rPr>
              <w:t>Layer</w:t>
            </w:r>
          </w:p>
        </w:tc>
        <w:tc>
          <w:tcPr>
            <w:tcW w:type="dxa" w:w="3312"/>
            <w:shd w:val="clear" w:fill="C00000"/>
          </w:tcPr>
          <w:p>
            <w:r>
              <w:rPr>
                <w:rFonts w:ascii="Cambria" w:hAnsi="Cambria"/>
                <w:b/>
                <w:i w:val="0"/>
                <w:color w:val="FFFFFF"/>
                <w:sz w:val="21"/>
              </w:rPr>
              <w:t>Component</w:t>
            </w:r>
          </w:p>
        </w:tc>
        <w:tc>
          <w:tcPr>
            <w:tcW w:type="dxa" w:w="5256"/>
            <w:shd w:val="clear" w:fill="C00000"/>
          </w:tcPr>
          <w:p>
            <w:r>
              <w:rPr>
                <w:rFonts w:ascii="Cambria" w:hAnsi="Cambria"/>
                <w:b/>
                <w:i w:val="0"/>
                <w:color w:val="FFFFFF"/>
                <w:sz w:val="21"/>
              </w:rPr>
              <w:t>Responsibility</w:t>
            </w:r>
          </w:p>
        </w:tc>
      </w:tr>
      <w:tr>
        <w:tc>
          <w:tcPr>
            <w:tcW w:type="dxa" w:w="1872"/>
          </w:tcPr>
          <w:p>
            <w:r>
              <w:rPr>
                <w:rFonts w:ascii="Cambria" w:hAnsi="Cambria"/>
                <w:b w:val="0"/>
                <w:i w:val="0"/>
                <w:color w:val="3A3A3A"/>
                <w:sz w:val="20"/>
              </w:rPr>
              <w:t>Frontend</w:t>
            </w:r>
          </w:p>
        </w:tc>
        <w:tc>
          <w:tcPr>
            <w:tcW w:type="dxa" w:w="3312"/>
          </w:tcPr>
          <w:p>
            <w:r>
              <w:rPr>
                <w:rFonts w:ascii="Cambria" w:hAnsi="Cambria"/>
                <w:b w:val="0"/>
                <w:i w:val="0"/>
                <w:color w:val="3A3A3A"/>
                <w:sz w:val="20"/>
              </w:rPr>
              <w:t>React + TypeScript (Vite)</w:t>
            </w:r>
          </w:p>
        </w:tc>
        <w:tc>
          <w:tcPr>
            <w:tcW w:type="dxa" w:w="5256"/>
          </w:tcPr>
          <w:p>
            <w:r>
              <w:rPr>
                <w:rFonts w:ascii="Cambria" w:hAnsi="Cambria"/>
                <w:b w:val="0"/>
                <w:i w:val="0"/>
                <w:color w:val="3A3A3A"/>
                <w:sz w:val="20"/>
              </w:rPr>
              <w:t>Ticket submission form, engineer review screen, admin panel</w:t>
            </w:r>
          </w:p>
        </w:tc>
      </w:tr>
      <w:tr>
        <w:tc>
          <w:tcPr>
            <w:tcW w:type="dxa" w:w="1872"/>
            <w:shd w:val="clear" w:fill="FBF3F3"/>
          </w:tcPr>
          <w:p>
            <w:r>
              <w:rPr>
                <w:rFonts w:ascii="Cambria" w:hAnsi="Cambria"/>
                <w:b w:val="0"/>
                <w:i w:val="0"/>
                <w:color w:val="3A3A3A"/>
                <w:sz w:val="20"/>
              </w:rPr>
              <w:t>Backend / API</w:t>
            </w:r>
          </w:p>
        </w:tc>
        <w:tc>
          <w:tcPr>
            <w:tcW w:type="dxa" w:w="3312"/>
            <w:shd w:val="clear" w:fill="FBF3F3"/>
          </w:tcPr>
          <w:p>
            <w:r>
              <w:rPr>
                <w:rFonts w:ascii="Cambria" w:hAnsi="Cambria"/>
                <w:b w:val="0"/>
                <w:i w:val="0"/>
                <w:color w:val="3A3A3A"/>
                <w:sz w:val="20"/>
              </w:rPr>
              <w:t>FastAPI + Pydantic + SQLAlchemy</w:t>
            </w:r>
          </w:p>
        </w:tc>
        <w:tc>
          <w:tcPr>
            <w:tcW w:type="dxa" w:w="5256"/>
            <w:shd w:val="clear" w:fill="FBF3F3"/>
          </w:tcPr>
          <w:p>
            <w:r>
              <w:rPr>
                <w:rFonts w:ascii="Cambria" w:hAnsi="Cambria"/>
                <w:b w:val="0"/>
                <w:i w:val="0"/>
                <w:color w:val="3A3A3A"/>
                <w:sz w:val="20"/>
              </w:rPr>
              <w:t>Authentication, ticket CRUD, orchestration entry points</w:t>
            </w:r>
          </w:p>
        </w:tc>
      </w:tr>
      <w:tr>
        <w:tc>
          <w:tcPr>
            <w:tcW w:type="dxa" w:w="1872"/>
          </w:tcPr>
          <w:p>
            <w:r>
              <w:rPr>
                <w:rFonts w:ascii="Cambria" w:hAnsi="Cambria"/>
                <w:b w:val="0"/>
                <w:i w:val="0"/>
                <w:color w:val="3A3A3A"/>
                <w:sz w:val="20"/>
              </w:rPr>
              <w:t>AI Orchestration</w:t>
            </w:r>
          </w:p>
        </w:tc>
        <w:tc>
          <w:tcPr>
            <w:tcW w:type="dxa" w:w="3312"/>
          </w:tcPr>
          <w:p>
            <w:r>
              <w:rPr>
                <w:rFonts w:ascii="Cambria" w:hAnsi="Cambria"/>
                <w:b w:val="0"/>
                <w:i w:val="0"/>
                <w:color w:val="3A3A3A"/>
                <w:sz w:val="20"/>
              </w:rPr>
              <w:t>LangGraph</w:t>
            </w:r>
          </w:p>
        </w:tc>
        <w:tc>
          <w:tcPr>
            <w:tcW w:type="dxa" w:w="5256"/>
          </w:tcPr>
          <w:p>
            <w:r>
              <w:rPr>
                <w:rFonts w:ascii="Cambria" w:hAnsi="Cambria"/>
                <w:b w:val="0"/>
                <w:i w:val="0"/>
                <w:color w:val="3A3A3A"/>
                <w:sz w:val="20"/>
              </w:rPr>
              <w:t>Classify → Route → Retrieve → Draft → Signal Extraction → Confidence → Gate</w:t>
            </w:r>
          </w:p>
        </w:tc>
      </w:tr>
      <w:tr>
        <w:tc>
          <w:tcPr>
            <w:tcW w:type="dxa" w:w="1872"/>
            <w:shd w:val="clear" w:fill="FBF3F3"/>
          </w:tcPr>
          <w:p>
            <w:r>
              <w:rPr>
                <w:rFonts w:ascii="Cambria" w:hAnsi="Cambria"/>
                <w:b w:val="0"/>
                <w:i w:val="0"/>
                <w:color w:val="3A3A3A"/>
                <w:sz w:val="20"/>
              </w:rPr>
              <w:t>Data Layer</w:t>
            </w:r>
          </w:p>
        </w:tc>
        <w:tc>
          <w:tcPr>
            <w:tcW w:type="dxa" w:w="3312"/>
            <w:shd w:val="clear" w:fill="FBF3F3"/>
          </w:tcPr>
          <w:p>
            <w:r>
              <w:rPr>
                <w:rFonts w:ascii="Cambria" w:hAnsi="Cambria"/>
                <w:b w:val="0"/>
                <w:i w:val="0"/>
                <w:color w:val="3A3A3A"/>
                <w:sz w:val="20"/>
              </w:rPr>
              <w:t>PostgreSQL + pgvector</w:t>
            </w:r>
          </w:p>
        </w:tc>
        <w:tc>
          <w:tcPr>
            <w:tcW w:type="dxa" w:w="5256"/>
            <w:shd w:val="clear" w:fill="FBF3F3"/>
          </w:tcPr>
          <w:p>
            <w:r>
              <w:rPr>
                <w:rFonts w:ascii="Cambria" w:hAnsi="Cambria"/>
                <w:b w:val="0"/>
                <w:i w:val="0"/>
                <w:color w:val="3A3A3A"/>
                <w:sz w:val="20"/>
              </w:rPr>
              <w:t>Relational data, vector embeddings for retrieval</w:t>
            </w:r>
          </w:p>
        </w:tc>
      </w:tr>
      <w:tr>
        <w:tc>
          <w:tcPr>
            <w:tcW w:type="dxa" w:w="1872"/>
          </w:tcPr>
          <w:p>
            <w:r>
              <w:rPr>
                <w:rFonts w:ascii="Cambria" w:hAnsi="Cambria"/>
                <w:b w:val="0"/>
                <w:i w:val="0"/>
                <w:color w:val="3A3A3A"/>
                <w:sz w:val="20"/>
              </w:rPr>
              <w:t>ML Layer</w:t>
            </w:r>
          </w:p>
        </w:tc>
        <w:tc>
          <w:tcPr>
            <w:tcW w:type="dxa" w:w="3312"/>
          </w:tcPr>
          <w:p>
            <w:r>
              <w:rPr>
                <w:rFonts w:ascii="Cambria" w:hAnsi="Cambria"/>
                <w:b w:val="0"/>
                <w:i w:val="0"/>
                <w:color w:val="3A3A3A"/>
                <w:sz w:val="20"/>
              </w:rPr>
              <w:t>scikit-learn / XGBoost</w:t>
            </w:r>
          </w:p>
        </w:tc>
        <w:tc>
          <w:tcPr>
            <w:tcW w:type="dxa" w:w="5256"/>
          </w:tcPr>
          <w:p>
            <w:r>
              <w:rPr>
                <w:rFonts w:ascii="Cambria" w:hAnsi="Cambria"/>
                <w:b w:val="0"/>
                <w:i w:val="0"/>
                <w:color w:val="3A3A3A"/>
                <w:sz w:val="20"/>
              </w:rPr>
              <w:t>Classification model and confidence model, trained and evaluated offline</w:t>
            </w:r>
          </w:p>
        </w:tc>
      </w:tr>
      <w:tr>
        <w:tc>
          <w:tcPr>
            <w:tcW w:type="dxa" w:w="1872"/>
            <w:shd w:val="clear" w:fill="FBF3F3"/>
          </w:tcPr>
          <w:p>
            <w:r>
              <w:rPr>
                <w:rFonts w:ascii="Cambria" w:hAnsi="Cambria"/>
                <w:b w:val="0"/>
                <w:i w:val="0"/>
                <w:color w:val="3A3A3A"/>
                <w:sz w:val="20"/>
              </w:rPr>
              <w:t>External Services</w:t>
            </w:r>
          </w:p>
        </w:tc>
        <w:tc>
          <w:tcPr>
            <w:tcW w:type="dxa" w:w="3312"/>
            <w:shd w:val="clear" w:fill="FBF3F3"/>
          </w:tcPr>
          <w:p>
            <w:r>
              <w:rPr>
                <w:rFonts w:ascii="Cambria" w:hAnsi="Cambria"/>
                <w:b w:val="0"/>
                <w:i w:val="0"/>
                <w:color w:val="3A3A3A"/>
                <w:sz w:val="20"/>
              </w:rPr>
              <w:t>LLM API (abstracted), sentence-transformers, OCR</w:t>
            </w:r>
          </w:p>
        </w:tc>
        <w:tc>
          <w:tcPr>
            <w:tcW w:type="dxa" w:w="5256"/>
            <w:shd w:val="clear" w:fill="FBF3F3"/>
          </w:tcPr>
          <w:p>
            <w:r>
              <w:rPr>
                <w:rFonts w:ascii="Cambria" w:hAnsi="Cambria"/>
                <w:b w:val="0"/>
                <w:i w:val="0"/>
                <w:color w:val="3A3A3A"/>
                <w:sz w:val="20"/>
              </w:rPr>
              <w:t>Drafting, embeddings, attachment text extraction</w:t>
            </w:r>
          </w:p>
        </w:tc>
      </w:tr>
    </w:tbl>
    <w:p>
      <w:pPr>
        <w:spacing w:after="40"/>
      </w:pPr>
    </w:p>
    <w:p>
      <w:pPr>
        <w:spacing w:after="160"/>
      </w:pPr>
      <w:r>
        <w:rPr>
          <w:rFonts w:ascii="Cambria" w:hAnsi="Cambria"/>
          <w:b w:val="0"/>
          <w:i w:val="0"/>
          <w:color w:val="3A3A3A"/>
          <w:sz w:val="22"/>
        </w:rPr>
        <w:t>Department-scoped retrieval is enforced at the query level: every retrieval call is filtered by the ticket's assigned department, so an SAP ticket cannot surface HR content and vice versa. The LLM provider is kept behind an abstraction interface rather than hard-coded, so the generation backend can be swapped without changing the pipeline logic.</w:t>
      </w:r>
    </w:p>
    <w:p>
      <w:pPr>
        <w:pStyle w:val="Heading1"/>
      </w:pPr>
      <w:r>
        <w:t>11. Dataset and Resources</w:t>
      </w:r>
    </w:p>
    <w:p>
      <w:pPr>
        <w:spacing w:after="160"/>
      </w:pPr>
      <w:r>
        <w:rPr>
          <w:rFonts w:ascii="Cambria" w:hAnsi="Cambria"/>
          <w:b w:val="0"/>
          <w:i w:val="0"/>
          <w:color w:val="3A3A3A"/>
          <w:sz w:val="22"/>
        </w:rPr>
        <w:t>TicketSense does not have access to a real company's confidential ticket history, and this document is explicit about that rather than implying otherwise. The dataset strategy instead combines a public dataset, a self-authored knowledge base, and a small set of hand-crafted attachments.</w:t>
      </w:r>
    </w:p>
    <w:tbl>
      <w:tblPr>
        <w:tblW w:type="auto" w:w="0"/>
        <w:jc w:val="center"/>
        <w:tblBorders>
          <w:top w:val="single" w:sz="4" w:color="D9B7B7"/>
          <w:left w:val="single" w:sz="4" w:color="D9B7B7"/>
          <w:bottom w:val="single" w:sz="4" w:color="D9B7B7"/>
          <w:right w:val="single" w:sz="4" w:color="D9B7B7"/>
          <w:insideH w:val="single" w:sz="4" w:color="D9B7B7"/>
          <w:insideV w:val="single" w:sz="4" w:color="D9B7B7"/>
        </w:tblBorders>
        <w:tblLayout w:type="fixed"/>
        <w:tblLook w:firstColumn="1" w:firstRow="1" w:lastColumn="0" w:lastRow="0" w:noHBand="0" w:noVBand="1" w:val="04A0"/>
      </w:tblPr>
      <w:tblGrid>
        <w:gridCol w:w="5220"/>
        <w:gridCol w:w="5220"/>
      </w:tblGrid>
      <w:tr>
        <w:tc>
          <w:tcPr>
            <w:tcW w:type="dxa" w:w="4464"/>
            <w:shd w:val="clear" w:fill="C00000"/>
          </w:tcPr>
          <w:p>
            <w:r>
              <w:rPr>
                <w:rFonts w:ascii="Cambria" w:hAnsi="Cambria"/>
                <w:b/>
                <w:i w:val="0"/>
                <w:color w:val="FFFFFF"/>
                <w:sz w:val="21"/>
              </w:rPr>
              <w:t>Resource</w:t>
            </w:r>
          </w:p>
        </w:tc>
        <w:tc>
          <w:tcPr>
            <w:tcW w:type="dxa" w:w="5976"/>
            <w:shd w:val="clear" w:fill="C00000"/>
          </w:tcPr>
          <w:p>
            <w:r>
              <w:rPr>
                <w:rFonts w:ascii="Cambria" w:hAnsi="Cambria"/>
                <w:b/>
                <w:i w:val="0"/>
                <w:color w:val="FFFFFF"/>
                <w:sz w:val="21"/>
              </w:rPr>
              <w:t>Role in the Project</w:t>
            </w:r>
          </w:p>
        </w:tc>
      </w:tr>
      <w:tr>
        <w:tc>
          <w:tcPr>
            <w:tcW w:type="dxa" w:w="4464"/>
          </w:tcPr>
          <w:p>
            <w:r>
              <w:rPr>
                <w:rFonts w:ascii="Cambria" w:hAnsi="Cambria"/>
                <w:b w:val="0"/>
                <w:i w:val="0"/>
                <w:color w:val="3A3A3A"/>
                <w:sz w:val="20"/>
              </w:rPr>
              <w:t>Public IT-support ticket dataset (Kaggle)</w:t>
            </w:r>
          </w:p>
        </w:tc>
        <w:tc>
          <w:tcPr>
            <w:tcW w:type="dxa" w:w="5976"/>
          </w:tcPr>
          <w:p>
            <w:r>
              <w:rPr>
                <w:rFonts w:ascii="Cambria" w:hAnsi="Cambria"/>
                <w:b w:val="0"/>
                <w:i w:val="0"/>
                <w:color w:val="3A3A3A"/>
                <w:sz w:val="20"/>
              </w:rPr>
              <w:t>Realistic ticket text, categories, and volume for training and evaluating the classification model</w:t>
            </w:r>
          </w:p>
        </w:tc>
      </w:tr>
      <w:tr>
        <w:tc>
          <w:tcPr>
            <w:tcW w:type="dxa" w:w="4464"/>
            <w:shd w:val="clear" w:fill="FBF3F3"/>
          </w:tcPr>
          <w:p>
            <w:r>
              <w:rPr>
                <w:rFonts w:ascii="Cambria" w:hAnsi="Cambria"/>
                <w:b w:val="0"/>
                <w:i w:val="0"/>
                <w:color w:val="3A3A3A"/>
                <w:sz w:val="20"/>
              </w:rPr>
              <w:t>Self-authored synthetic knowledge base (30–60 articles across SAP, Networking, Cloud, Database, HR)</w:t>
            </w:r>
          </w:p>
        </w:tc>
        <w:tc>
          <w:tcPr>
            <w:tcW w:type="dxa" w:w="5976"/>
            <w:shd w:val="clear" w:fill="FBF3F3"/>
          </w:tcPr>
          <w:p>
            <w:r>
              <w:rPr>
                <w:rFonts w:ascii="Cambria" w:hAnsi="Cambria"/>
                <w:b w:val="0"/>
                <w:i w:val="0"/>
                <w:color w:val="3A3A3A"/>
                <w:sz w:val="20"/>
              </w:rPr>
              <w:t>Source documents for department-scoped RAG retrieval, disclosed as synthetic rather than real company data</w:t>
            </w:r>
          </w:p>
        </w:tc>
      </w:tr>
      <w:tr>
        <w:tc>
          <w:tcPr>
            <w:tcW w:type="dxa" w:w="4464"/>
          </w:tcPr>
          <w:p>
            <w:r>
              <w:rPr>
                <w:rFonts w:ascii="Cambria" w:hAnsi="Cambria"/>
                <w:b w:val="0"/>
                <w:i w:val="0"/>
                <w:color w:val="3A3A3A"/>
                <w:sz w:val="20"/>
              </w:rPr>
              <w:t>Hand-crafted sample screenshots and log snippets</w:t>
            </w:r>
          </w:p>
        </w:tc>
        <w:tc>
          <w:tcPr>
            <w:tcW w:type="dxa" w:w="5976"/>
          </w:tcPr>
          <w:p>
            <w:r>
              <w:rPr>
                <w:rFonts w:ascii="Cambria" w:hAnsi="Cambria"/>
                <w:b w:val="0"/>
                <w:i w:val="0"/>
                <w:color w:val="3A3A3A"/>
                <w:sz w:val="20"/>
              </w:rPr>
              <w:t>Used only to demonstrate OCR and attachment-processing capability, not to train production OCR</w:t>
            </w:r>
          </w:p>
        </w:tc>
      </w:tr>
      <w:tr>
        <w:tc>
          <w:tcPr>
            <w:tcW w:type="dxa" w:w="4464"/>
            <w:shd w:val="clear" w:fill="FBF3F3"/>
          </w:tcPr>
          <w:p>
            <w:r>
              <w:rPr>
                <w:rFonts w:ascii="Cambria" w:hAnsi="Cambria"/>
                <w:b w:val="0"/>
                <w:i w:val="0"/>
                <w:color w:val="3A3A3A"/>
                <w:sz w:val="20"/>
              </w:rPr>
              <w:t>Historical resolved-ticket records (derived from the public dataset and synthetic KB)</w:t>
            </w:r>
          </w:p>
        </w:tc>
        <w:tc>
          <w:tcPr>
            <w:tcW w:type="dxa" w:w="5976"/>
            <w:shd w:val="clear" w:fill="FBF3F3"/>
          </w:tcPr>
          <w:p>
            <w:r>
              <w:rPr>
                <w:rFonts w:ascii="Cambria" w:hAnsi="Cambria"/>
                <w:b w:val="0"/>
                <w:i w:val="0"/>
                <w:color w:val="3A3A3A"/>
                <w:sz w:val="20"/>
              </w:rPr>
              <w:t>Basis for the ticket-to-resolution similarity feature used by the confidence model</w:t>
            </w:r>
          </w:p>
        </w:tc>
      </w:tr>
    </w:tbl>
    <w:p>
      <w:pPr>
        <w:spacing w:after="40"/>
      </w:pPr>
    </w:p>
    <w:p>
      <w:pPr>
        <w:pStyle w:val="Heading2"/>
      </w:pPr>
      <w:r>
        <w:t>11.1 Data Preparation and Splits</w:t>
      </w:r>
    </w:p>
    <w:p>
      <w:pPr>
        <w:spacing w:after="160"/>
      </w:pPr>
      <w:r>
        <w:rPr>
          <w:rFonts w:ascii="Cambria" w:hAnsi="Cambria"/>
          <w:b w:val="0"/>
          <w:i w:val="0"/>
          <w:color w:val="3A3A3A"/>
          <w:sz w:val="22"/>
        </w:rPr>
        <w:t>The classification model is trained on a stratified split of the public dataset: approximately 70% training, 15% validation, and 15% held-out test, stratified by department so that rare categories are represented in every split. The confidence model is trained on outcome labels collected from the human review interface during Weeks 8–11 (an accepted draft with a minor edit counts as a success label; a rejected or heavily rewritten draft counts as a failure label); with a 3-week collection window, this is expected to yield a modest but usable labelled set, which Section 16 records as an explicit risk.</w:t>
      </w:r>
    </w:p>
    <w:p>
      <w:pPr>
        <w:pStyle w:val="Heading2"/>
      </w:pPr>
      <w:r>
        <w:t>11.2 Limitations</w:t>
      </w:r>
    </w:p>
    <w:p>
      <w:pPr>
        <w:spacing w:after="160"/>
      </w:pPr>
      <w:r>
        <w:rPr>
          <w:rFonts w:ascii="Cambria" w:hAnsi="Cambria"/>
          <w:b w:val="0"/>
          <w:i w:val="0"/>
          <w:color w:val="3A3A3A"/>
          <w:sz w:val="22"/>
        </w:rPr>
        <w:t>The knowledge base is synthetic and authored specifically for this project rather than mined from a real enterprise; retrieval and confidence-model results should be read as indicative of the method's behaviour at this scale, not as a claim of production-scale accuracy. The confidence-model training set size is bounded by how many human review decisions can realistically be collected in a 12-week student project.</w:t>
      </w:r>
    </w:p>
    <w:p>
      <w:pPr>
        <w:pStyle w:val="Heading1"/>
      </w:pPr>
      <w:r>
        <w:t>12. Baselines and Evaluation Metrics</w:t>
      </w:r>
    </w:p>
    <w:p>
      <w:pPr>
        <w:pStyle w:val="Heading2"/>
      </w:pPr>
      <w:r>
        <w:t>12.1 Baselines</w:t>
      </w:r>
    </w:p>
    <w:tbl>
      <w:tblPr>
        <w:tblW w:type="auto" w:w="0"/>
        <w:jc w:val="center"/>
        <w:tblBorders>
          <w:top w:val="single" w:sz="4" w:color="D9B7B7"/>
          <w:left w:val="single" w:sz="4" w:color="D9B7B7"/>
          <w:bottom w:val="single" w:sz="4" w:color="D9B7B7"/>
          <w:right w:val="single" w:sz="4" w:color="D9B7B7"/>
          <w:insideH w:val="single" w:sz="4" w:color="D9B7B7"/>
          <w:insideV w:val="single" w:sz="4" w:color="D9B7B7"/>
        </w:tblBorders>
        <w:tblLayout w:type="fixed"/>
        <w:tblLook w:firstColumn="1" w:firstRow="1" w:lastColumn="0" w:lastRow="0" w:noHBand="0" w:noVBand="1" w:val="04A0"/>
      </w:tblPr>
      <w:tblGrid>
        <w:gridCol w:w="5220"/>
        <w:gridCol w:w="5220"/>
      </w:tblGrid>
      <w:tr>
        <w:tc>
          <w:tcPr>
            <w:tcW w:type="dxa" w:w="4464"/>
            <w:shd w:val="clear" w:fill="C00000"/>
          </w:tcPr>
          <w:p>
            <w:r>
              <w:rPr>
                <w:rFonts w:ascii="Cambria" w:hAnsi="Cambria"/>
                <w:b/>
                <w:i w:val="0"/>
                <w:color w:val="FFFFFF"/>
                <w:sz w:val="21"/>
              </w:rPr>
              <w:t>Baseline</w:t>
            </w:r>
          </w:p>
        </w:tc>
        <w:tc>
          <w:tcPr>
            <w:tcW w:type="dxa" w:w="5976"/>
            <w:shd w:val="clear" w:fill="C00000"/>
          </w:tcPr>
          <w:p>
            <w:r>
              <w:rPr>
                <w:rFonts w:ascii="Cambria" w:hAnsi="Cambria"/>
                <w:b/>
                <w:i w:val="0"/>
                <w:color w:val="FFFFFF"/>
                <w:sz w:val="21"/>
              </w:rPr>
              <w:t>Purpose</w:t>
            </w:r>
          </w:p>
        </w:tc>
      </w:tr>
      <w:tr>
        <w:tc>
          <w:tcPr>
            <w:tcW w:type="dxa" w:w="4464"/>
          </w:tcPr>
          <w:p>
            <w:r>
              <w:rPr>
                <w:rFonts w:ascii="Cambria" w:hAnsi="Cambria"/>
                <w:b w:val="0"/>
                <w:i w:val="0"/>
                <w:color w:val="3A3A3A"/>
                <w:sz w:val="20"/>
              </w:rPr>
              <w:t>LLM self-reported confidence</w:t>
            </w:r>
          </w:p>
        </w:tc>
        <w:tc>
          <w:tcPr>
            <w:tcW w:type="dxa" w:w="5976"/>
          </w:tcPr>
          <w:p>
            <w:r>
              <w:rPr>
                <w:rFonts w:ascii="Cambria" w:hAnsi="Cambria"/>
                <w:b w:val="0"/>
                <w:i w:val="0"/>
                <w:color w:val="3A3A3A"/>
                <w:sz w:val="20"/>
              </w:rPr>
              <w:t>Represents the common but unreliable approach of asking the generating model to rate its own answer — the point of comparison</w:t>
            </w:r>
          </w:p>
        </w:tc>
      </w:tr>
      <w:tr>
        <w:tc>
          <w:tcPr>
            <w:tcW w:type="dxa" w:w="4464"/>
            <w:shd w:val="clear" w:fill="FBF3F3"/>
          </w:tcPr>
          <w:p>
            <w:r>
              <w:rPr>
                <w:rFonts w:ascii="Cambria" w:hAnsi="Cambria"/>
                <w:b w:val="0"/>
                <w:i w:val="0"/>
                <w:color w:val="3A3A3A"/>
                <w:sz w:val="20"/>
              </w:rPr>
              <w:t>TicketSense confidence-gated pipeline</w:t>
            </w:r>
          </w:p>
        </w:tc>
        <w:tc>
          <w:tcPr>
            <w:tcW w:type="dxa" w:w="5976"/>
            <w:shd w:val="clear" w:fill="FBF3F3"/>
          </w:tcPr>
          <w:p>
            <w:r>
              <w:rPr>
                <w:rFonts w:ascii="Cambria" w:hAnsi="Cambria"/>
                <w:b w:val="0"/>
                <w:i w:val="0"/>
                <w:color w:val="3A3A3A"/>
                <w:sz w:val="20"/>
              </w:rPr>
              <w:t>The proposed system: a separately trained classifier gates escalation using retrieval and context features</w:t>
            </w:r>
          </w:p>
        </w:tc>
      </w:tr>
    </w:tbl>
    <w:p>
      <w:pPr>
        <w:spacing w:after="40"/>
      </w:pPr>
    </w:p>
    <w:p>
      <w:pPr>
        <w:pStyle w:val="Heading2"/>
      </w:pPr>
      <w:r>
        <w:t>12.2 Metrics</w:t>
      </w:r>
    </w:p>
    <w:tbl>
      <w:tblPr>
        <w:tblW w:type="auto" w:w="0"/>
        <w:jc w:val="center"/>
        <w:tblBorders>
          <w:top w:val="single" w:sz="4" w:color="D9B7B7"/>
          <w:left w:val="single" w:sz="4" w:color="D9B7B7"/>
          <w:bottom w:val="single" w:sz="4" w:color="D9B7B7"/>
          <w:right w:val="single" w:sz="4" w:color="D9B7B7"/>
          <w:insideH w:val="single" w:sz="4" w:color="D9B7B7"/>
          <w:insideV w:val="single" w:sz="4" w:color="D9B7B7"/>
        </w:tblBorders>
        <w:tblLayout w:type="fixed"/>
        <w:tblLook w:firstColumn="1" w:firstRow="1" w:lastColumn="0" w:lastRow="0" w:noHBand="0" w:noVBand="1" w:val="04A0"/>
      </w:tblPr>
      <w:tblGrid>
        <w:gridCol w:w="5220"/>
        <w:gridCol w:w="5220"/>
      </w:tblGrid>
      <w:tr>
        <w:tc>
          <w:tcPr>
            <w:tcW w:type="dxa" w:w="2448"/>
            <w:shd w:val="clear" w:fill="C00000"/>
          </w:tcPr>
          <w:p>
            <w:r>
              <w:rPr>
                <w:rFonts w:ascii="Cambria" w:hAnsi="Cambria"/>
                <w:b/>
                <w:i w:val="0"/>
                <w:color w:val="FFFFFF"/>
                <w:sz w:val="21"/>
              </w:rPr>
              <w:t>Category</w:t>
            </w:r>
          </w:p>
        </w:tc>
        <w:tc>
          <w:tcPr>
            <w:tcW w:type="dxa" w:w="7992"/>
            <w:shd w:val="clear" w:fill="C00000"/>
          </w:tcPr>
          <w:p>
            <w:r>
              <w:rPr>
                <w:rFonts w:ascii="Cambria" w:hAnsi="Cambria"/>
                <w:b/>
                <w:i w:val="0"/>
                <w:color w:val="FFFFFF"/>
                <w:sz w:val="21"/>
              </w:rPr>
              <w:t>Metrics</w:t>
            </w:r>
          </w:p>
        </w:tc>
      </w:tr>
      <w:tr>
        <w:tc>
          <w:tcPr>
            <w:tcW w:type="dxa" w:w="2448"/>
          </w:tcPr>
          <w:p>
            <w:r>
              <w:rPr>
                <w:rFonts w:ascii="Cambria" w:hAnsi="Cambria"/>
                <w:b w:val="0"/>
                <w:i w:val="0"/>
                <w:color w:val="3A3A3A"/>
                <w:sz w:val="20"/>
              </w:rPr>
              <w:t>Classification</w:t>
            </w:r>
          </w:p>
        </w:tc>
        <w:tc>
          <w:tcPr>
            <w:tcW w:type="dxa" w:w="7992"/>
          </w:tcPr>
          <w:p>
            <w:r>
              <w:rPr>
                <w:rFonts w:ascii="Cambria" w:hAnsi="Cambria"/>
                <w:b w:val="0"/>
                <w:i w:val="0"/>
                <w:color w:val="3A3A3A"/>
                <w:sz w:val="20"/>
              </w:rPr>
              <w:t>Accuracy, precision, recall, F1-score (per department/priority class)</w:t>
            </w:r>
          </w:p>
        </w:tc>
      </w:tr>
      <w:tr>
        <w:tc>
          <w:tcPr>
            <w:tcW w:type="dxa" w:w="2448"/>
            <w:shd w:val="clear" w:fill="FBF3F3"/>
          </w:tcPr>
          <w:p>
            <w:r>
              <w:rPr>
                <w:rFonts w:ascii="Cambria" w:hAnsi="Cambria"/>
                <w:b w:val="0"/>
                <w:i w:val="0"/>
                <w:color w:val="3A3A3A"/>
                <w:sz w:val="20"/>
              </w:rPr>
              <w:t>Retrieval</w:t>
            </w:r>
          </w:p>
        </w:tc>
        <w:tc>
          <w:tcPr>
            <w:tcW w:type="dxa" w:w="7992"/>
            <w:shd w:val="clear" w:fill="FBF3F3"/>
          </w:tcPr>
          <w:p>
            <w:r>
              <w:rPr>
                <w:rFonts w:ascii="Cambria" w:hAnsi="Cambria"/>
                <w:b w:val="0"/>
                <w:i w:val="0"/>
                <w:color w:val="3A3A3A"/>
                <w:sz w:val="20"/>
              </w:rPr>
              <w:t>Recall@K, precision@K where appropriate, retrieval relevance score</w:t>
            </w:r>
          </w:p>
        </w:tc>
      </w:tr>
      <w:tr>
        <w:tc>
          <w:tcPr>
            <w:tcW w:type="dxa" w:w="2448"/>
          </w:tcPr>
          <w:p>
            <w:r>
              <w:rPr>
                <w:rFonts w:ascii="Cambria" w:hAnsi="Cambria"/>
                <w:b w:val="0"/>
                <w:i w:val="0"/>
                <w:color w:val="3A3A3A"/>
                <w:sz w:val="20"/>
              </w:rPr>
              <w:t>Draft quality</w:t>
            </w:r>
          </w:p>
        </w:tc>
        <w:tc>
          <w:tcPr>
            <w:tcW w:type="dxa" w:w="7992"/>
          </w:tcPr>
          <w:p>
            <w:r>
              <w:rPr>
                <w:rFonts w:ascii="Cambria" w:hAnsi="Cambria"/>
                <w:b w:val="0"/>
                <w:i w:val="0"/>
                <w:color w:val="3A3A3A"/>
                <w:sz w:val="20"/>
              </w:rPr>
              <w:t>Groundedness (claims traceable to a cited source), citation correctness, human acceptance/edit/rejection rate</w:t>
            </w:r>
          </w:p>
        </w:tc>
      </w:tr>
      <w:tr>
        <w:tc>
          <w:tcPr>
            <w:tcW w:type="dxa" w:w="2448"/>
            <w:shd w:val="clear" w:fill="FBF3F3"/>
          </w:tcPr>
          <w:p>
            <w:r>
              <w:rPr>
                <w:rFonts w:ascii="Cambria" w:hAnsi="Cambria"/>
                <w:b w:val="0"/>
                <w:i w:val="0"/>
                <w:color w:val="3A3A3A"/>
                <w:sz w:val="20"/>
              </w:rPr>
              <w:t>Confidence model</w:t>
            </w:r>
          </w:p>
        </w:tc>
        <w:tc>
          <w:tcPr>
            <w:tcW w:type="dxa" w:w="7992"/>
            <w:shd w:val="clear" w:fill="FBF3F3"/>
          </w:tcPr>
          <w:p>
            <w:r>
              <w:rPr>
                <w:rFonts w:ascii="Cambria" w:hAnsi="Cambria"/>
                <w:b w:val="0"/>
                <w:i w:val="0"/>
                <w:color w:val="3A3A3A"/>
                <w:sz w:val="20"/>
              </w:rPr>
              <w:t>Precision, recall, F1, ROC-AUC, calibration where feasible, escalation rate, false-acceptance and false-escalation rate</w:t>
            </w:r>
          </w:p>
        </w:tc>
      </w:tr>
      <w:tr>
        <w:tc>
          <w:tcPr>
            <w:tcW w:type="dxa" w:w="2448"/>
          </w:tcPr>
          <w:p>
            <w:r>
              <w:rPr>
                <w:rFonts w:ascii="Cambria" w:hAnsi="Cambria"/>
                <w:b w:val="0"/>
                <w:i w:val="0"/>
                <w:color w:val="3A3A3A"/>
                <w:sz w:val="20"/>
              </w:rPr>
              <w:t>Human-in-the-loop</w:t>
            </w:r>
          </w:p>
        </w:tc>
        <w:tc>
          <w:tcPr>
            <w:tcW w:type="dxa" w:w="7992"/>
          </w:tcPr>
          <w:p>
            <w:r>
              <w:rPr>
                <w:rFonts w:ascii="Cambria" w:hAnsi="Cambria"/>
                <w:b w:val="0"/>
                <w:i w:val="0"/>
                <w:color w:val="3A3A3A"/>
                <w:sz w:val="20"/>
              </w:rPr>
              <w:t>AI-human agreement, acceptance rate, edit rate, rejection rate</w:t>
            </w:r>
          </w:p>
        </w:tc>
      </w:tr>
      <w:tr>
        <w:tc>
          <w:tcPr>
            <w:tcW w:type="dxa" w:w="2448"/>
            <w:shd w:val="clear" w:fill="FBF3F3"/>
          </w:tcPr>
          <w:p>
            <w:r>
              <w:rPr>
                <w:rFonts w:ascii="Cambria" w:hAnsi="Cambria"/>
                <w:b w:val="0"/>
                <w:i w:val="0"/>
                <w:color w:val="3A3A3A"/>
                <w:sz w:val="20"/>
              </w:rPr>
              <w:t>System</w:t>
            </w:r>
          </w:p>
        </w:tc>
        <w:tc>
          <w:tcPr>
            <w:tcW w:type="dxa" w:w="7992"/>
            <w:shd w:val="clear" w:fill="FBF3F3"/>
          </w:tcPr>
          <w:p>
            <w:r>
              <w:rPr>
                <w:rFonts w:ascii="Cambria" w:hAnsi="Cambria"/>
                <w:b w:val="0"/>
                <w:i w:val="0"/>
                <w:color w:val="3A3A3A"/>
                <w:sz w:val="20"/>
              </w:rPr>
              <w:t>End-to-end response latency, processing time per pipeline stage</w:t>
            </w:r>
          </w:p>
        </w:tc>
      </w:tr>
    </w:tbl>
    <w:p>
      <w:pPr>
        <w:spacing w:after="40"/>
      </w:pPr>
    </w:p>
    <w:p>
      <w:pPr>
        <w:spacing w:after="160"/>
      </w:pPr>
      <w:r>
        <w:rPr>
          <w:rFonts w:ascii="Cambria" w:hAnsi="Cambria"/>
          <w:b w:val="0"/>
          <w:i w:val="0"/>
          <w:color w:val="3A3A3A"/>
          <w:sz w:val="22"/>
        </w:rPr>
        <w:t>Metrics that cannot realistically be measured within the project's data and timeline — for example, generalisation to a real enterprise's ticket volume, or long-run drift — are not promised; the evaluation is scoped to what the synthetic-but-realistic dataset and 12-week timeline can actually support.</w:t>
      </w:r>
    </w:p>
    <w:p>
      <w:pPr>
        <w:pStyle w:val="Heading1"/>
      </w:pPr>
      <w:r>
        <w:t>13. Experimental / Evaluation Protocol</w:t>
      </w:r>
    </w:p>
    <w:p>
      <w:pPr>
        <w:pStyle w:val="ListNumber"/>
        <w:spacing w:after="80"/>
      </w:pPr>
      <w:r>
        <w:rPr>
          <w:rFonts w:ascii="Cambria" w:hAnsi="Cambria"/>
          <w:b/>
          <w:i w:val="0"/>
          <w:color w:val="3A3A3A"/>
          <w:sz w:val="22"/>
        </w:rPr>
        <w:t xml:space="preserve">Step 1  </w:t>
      </w:r>
      <w:r>
        <w:rPr>
          <w:rFonts w:ascii="Cambria" w:hAnsi="Cambria"/>
          <w:b w:val="0"/>
          <w:i w:val="0"/>
          <w:color w:val="3A3A3A"/>
          <w:sz w:val="22"/>
        </w:rPr>
        <w:t>Build the department-scoped retrieval index and confirm it returns sensible passages for a set of hand-picked test tickets.</w:t>
      </w:r>
    </w:p>
    <w:p>
      <w:pPr>
        <w:pStyle w:val="ListNumber"/>
        <w:spacing w:after="80"/>
      </w:pPr>
      <w:r>
        <w:rPr>
          <w:rFonts w:ascii="Cambria" w:hAnsi="Cambria"/>
          <w:b/>
          <w:i w:val="0"/>
          <w:color w:val="3A3A3A"/>
          <w:sz w:val="22"/>
        </w:rPr>
        <w:t xml:space="preserve">Step 2  </w:t>
      </w:r>
      <w:r>
        <w:rPr>
          <w:rFonts w:ascii="Cambria" w:hAnsi="Cambria"/>
          <w:b w:val="0"/>
          <w:i w:val="0"/>
          <w:color w:val="3A3A3A"/>
          <w:sz w:val="22"/>
        </w:rPr>
        <w:t>Train the classification model on the public dataset split and record baseline classification metrics.</w:t>
      </w:r>
    </w:p>
    <w:p>
      <w:pPr>
        <w:pStyle w:val="ListNumber"/>
        <w:spacing w:after="80"/>
      </w:pPr>
      <w:r>
        <w:rPr>
          <w:rFonts w:ascii="Cambria" w:hAnsi="Cambria"/>
          <w:b/>
          <w:i w:val="0"/>
          <w:color w:val="3A3A3A"/>
          <w:sz w:val="22"/>
        </w:rPr>
        <w:t xml:space="preserve">Step 3  </w:t>
      </w:r>
      <w:r>
        <w:rPr>
          <w:rFonts w:ascii="Cambria" w:hAnsi="Cambria"/>
          <w:b w:val="0"/>
          <w:i w:val="0"/>
          <w:color w:val="3A3A3A"/>
          <w:sz w:val="22"/>
        </w:rPr>
        <w:t>Generate drafts for a held-out evaluation set of tickets using the full RAG pipeline, and record groundedness and citation correctness by manual review.</w:t>
      </w:r>
    </w:p>
    <w:p>
      <w:pPr>
        <w:pStyle w:val="ListNumber"/>
        <w:spacing w:after="80"/>
      </w:pPr>
      <w:r>
        <w:rPr>
          <w:rFonts w:ascii="Cambria" w:hAnsi="Cambria"/>
          <w:b/>
          <w:i w:val="0"/>
          <w:color w:val="3A3A3A"/>
          <w:sz w:val="22"/>
        </w:rPr>
        <w:t xml:space="preserve">Step 4  </w:t>
      </w:r>
      <w:r>
        <w:rPr>
          <w:rFonts w:ascii="Cambria" w:hAnsi="Cambria"/>
          <w:b w:val="0"/>
          <w:i w:val="0"/>
          <w:color w:val="3A3A3A"/>
          <w:sz w:val="22"/>
        </w:rPr>
        <w:t>Collect human review decisions (accept/edit/reject/escalate) during Weeks 8–11 to build the confidence-model training and evaluation labels.</w:t>
      </w:r>
    </w:p>
    <w:p>
      <w:pPr>
        <w:pStyle w:val="ListNumber"/>
        <w:spacing w:after="80"/>
      </w:pPr>
      <w:r>
        <w:rPr>
          <w:rFonts w:ascii="Cambria" w:hAnsi="Cambria"/>
          <w:b/>
          <w:i w:val="0"/>
          <w:color w:val="3A3A3A"/>
          <w:sz w:val="22"/>
        </w:rPr>
        <w:t xml:space="preserve">Step 5  </w:t>
      </w:r>
      <w:r>
        <w:rPr>
          <w:rFonts w:ascii="Cambria" w:hAnsi="Cambria"/>
          <w:b w:val="0"/>
          <w:i w:val="0"/>
          <w:color w:val="3A3A3A"/>
          <w:sz w:val="22"/>
        </w:rPr>
        <w:t>Train the confidence model and compute its precision, recall, F1, and ROC-AUC against the held-out review-outcome labels.</w:t>
      </w:r>
    </w:p>
    <w:p>
      <w:pPr>
        <w:pStyle w:val="ListNumber"/>
        <w:spacing w:after="80"/>
      </w:pPr>
      <w:r>
        <w:rPr>
          <w:rFonts w:ascii="Cambria" w:hAnsi="Cambria"/>
          <w:b/>
          <w:i w:val="0"/>
          <w:color w:val="3A3A3A"/>
          <w:sz w:val="22"/>
        </w:rPr>
        <w:t xml:space="preserve">Step 6  </w:t>
      </w:r>
      <w:r>
        <w:rPr>
          <w:rFonts w:ascii="Cambria" w:hAnsi="Cambria"/>
          <w:b w:val="0"/>
          <w:i w:val="0"/>
          <w:color w:val="3A3A3A"/>
          <w:sz w:val="22"/>
        </w:rPr>
        <w:t>Run the same evaluation tickets through an LLM-self-reported-confidence baseline for comparison.</w:t>
      </w:r>
    </w:p>
    <w:p>
      <w:pPr>
        <w:pStyle w:val="ListNumber"/>
        <w:spacing w:after="80"/>
      </w:pPr>
      <w:r>
        <w:rPr>
          <w:rFonts w:ascii="Cambria" w:hAnsi="Cambria"/>
          <w:b/>
          <w:i w:val="0"/>
          <w:color w:val="3A3A3A"/>
          <w:sz w:val="22"/>
        </w:rPr>
        <w:t xml:space="preserve">Step 7  </w:t>
      </w:r>
      <w:r>
        <w:rPr>
          <w:rFonts w:ascii="Cambria" w:hAnsi="Cambria"/>
          <w:b w:val="0"/>
          <w:i w:val="0"/>
          <w:color w:val="3A3A3A"/>
          <w:sz w:val="22"/>
        </w:rPr>
        <w:t>Compare escalation precision/recall of the trained confidence model against the self-reported-confidence baseline on the same tickets, and report the difference honestly, including cases where the baseline performs comparably.</w:t>
      </w:r>
    </w:p>
    <w:p>
      <w:pPr>
        <w:pStyle w:val="Heading1"/>
      </w:pPr>
      <w:r>
        <w:t>14. Implementation and Technology Stack</w:t>
      </w:r>
    </w:p>
    <w:tbl>
      <w:tblPr>
        <w:tblW w:type="auto" w:w="0"/>
        <w:jc w:val="center"/>
        <w:tblBorders>
          <w:top w:val="single" w:sz="4" w:color="D9B7B7"/>
          <w:left w:val="single" w:sz="4" w:color="D9B7B7"/>
          <w:bottom w:val="single" w:sz="4" w:color="D9B7B7"/>
          <w:right w:val="single" w:sz="4" w:color="D9B7B7"/>
          <w:insideH w:val="single" w:sz="4" w:color="D9B7B7"/>
          <w:insideV w:val="single" w:sz="4" w:color="D9B7B7"/>
        </w:tblBorders>
        <w:tblLayout w:type="fixed"/>
        <w:tblLook w:firstColumn="1" w:firstRow="1" w:lastColumn="0" w:lastRow="0" w:noHBand="0" w:noVBand="1" w:val="04A0"/>
      </w:tblPr>
      <w:tblGrid>
        <w:gridCol w:w="5220"/>
        <w:gridCol w:w="5220"/>
      </w:tblGrid>
      <w:tr>
        <w:tc>
          <w:tcPr>
            <w:tcW w:type="dxa" w:w="3456"/>
            <w:shd w:val="clear" w:fill="C00000"/>
          </w:tcPr>
          <w:p>
            <w:r>
              <w:rPr>
                <w:rFonts w:ascii="Cambria" w:hAnsi="Cambria"/>
                <w:b/>
                <w:i w:val="0"/>
                <w:color w:val="FFFFFF"/>
                <w:sz w:val="21"/>
              </w:rPr>
              <w:t>Component</w:t>
            </w:r>
          </w:p>
        </w:tc>
        <w:tc>
          <w:tcPr>
            <w:tcW w:type="dxa" w:w="6984"/>
            <w:shd w:val="clear" w:fill="C00000"/>
          </w:tcPr>
          <w:p>
            <w:r>
              <w:rPr>
                <w:rFonts w:ascii="Cambria" w:hAnsi="Cambria"/>
                <w:b/>
                <w:i w:val="0"/>
                <w:color w:val="FFFFFF"/>
                <w:sz w:val="21"/>
              </w:rPr>
              <w:t>Technology</w:t>
            </w:r>
          </w:p>
        </w:tc>
      </w:tr>
      <w:tr>
        <w:tc>
          <w:tcPr>
            <w:tcW w:type="dxa" w:w="3456"/>
          </w:tcPr>
          <w:p>
            <w:r>
              <w:rPr>
                <w:rFonts w:ascii="Cambria" w:hAnsi="Cambria"/>
                <w:b w:val="0"/>
                <w:i w:val="0"/>
                <w:color w:val="3A3A3A"/>
                <w:sz w:val="20"/>
              </w:rPr>
              <w:t>Frontend</w:t>
            </w:r>
          </w:p>
        </w:tc>
        <w:tc>
          <w:tcPr>
            <w:tcW w:type="dxa" w:w="6984"/>
          </w:tcPr>
          <w:p>
            <w:r>
              <w:rPr>
                <w:rFonts w:ascii="Cambria" w:hAnsi="Cambria"/>
                <w:b w:val="0"/>
                <w:i w:val="0"/>
                <w:color w:val="3A3A3A"/>
                <w:sz w:val="20"/>
              </w:rPr>
              <w:t>React, TypeScript, Vite</w:t>
            </w:r>
          </w:p>
        </w:tc>
      </w:tr>
      <w:tr>
        <w:tc>
          <w:tcPr>
            <w:tcW w:type="dxa" w:w="3456"/>
            <w:shd w:val="clear" w:fill="FBF3F3"/>
          </w:tcPr>
          <w:p>
            <w:r>
              <w:rPr>
                <w:rFonts w:ascii="Cambria" w:hAnsi="Cambria"/>
                <w:b w:val="0"/>
                <w:i w:val="0"/>
                <w:color w:val="3A3A3A"/>
                <w:sz w:val="20"/>
              </w:rPr>
              <w:t>Backend / API</w:t>
            </w:r>
          </w:p>
        </w:tc>
        <w:tc>
          <w:tcPr>
            <w:tcW w:type="dxa" w:w="6984"/>
            <w:shd w:val="clear" w:fill="FBF3F3"/>
          </w:tcPr>
          <w:p>
            <w:r>
              <w:rPr>
                <w:rFonts w:ascii="Cambria" w:hAnsi="Cambria"/>
                <w:b w:val="0"/>
                <w:i w:val="0"/>
                <w:color w:val="3A3A3A"/>
                <w:sz w:val="20"/>
              </w:rPr>
              <w:t>FastAPI, Python, Pydantic, SQLAlchemy</w:t>
            </w:r>
          </w:p>
        </w:tc>
      </w:tr>
      <w:tr>
        <w:tc>
          <w:tcPr>
            <w:tcW w:type="dxa" w:w="3456"/>
          </w:tcPr>
          <w:p>
            <w:r>
              <w:rPr>
                <w:rFonts w:ascii="Cambria" w:hAnsi="Cambria"/>
                <w:b w:val="0"/>
                <w:i w:val="0"/>
                <w:color w:val="3A3A3A"/>
                <w:sz w:val="20"/>
              </w:rPr>
              <w:t>AI orchestration</w:t>
            </w:r>
          </w:p>
        </w:tc>
        <w:tc>
          <w:tcPr>
            <w:tcW w:type="dxa" w:w="6984"/>
          </w:tcPr>
          <w:p>
            <w:r>
              <w:rPr>
                <w:rFonts w:ascii="Cambria" w:hAnsi="Cambria"/>
                <w:b w:val="0"/>
                <w:i w:val="0"/>
                <w:color w:val="3A3A3A"/>
                <w:sz w:val="20"/>
              </w:rPr>
              <w:t>LangGraph</w:t>
            </w:r>
          </w:p>
        </w:tc>
      </w:tr>
      <w:tr>
        <w:tc>
          <w:tcPr>
            <w:tcW w:type="dxa" w:w="3456"/>
            <w:shd w:val="clear" w:fill="FBF3F3"/>
          </w:tcPr>
          <w:p>
            <w:r>
              <w:rPr>
                <w:rFonts w:ascii="Cambria" w:hAnsi="Cambria"/>
                <w:b w:val="0"/>
                <w:i w:val="0"/>
                <w:color w:val="3A3A3A"/>
                <w:sz w:val="20"/>
              </w:rPr>
              <w:t>Database</w:t>
            </w:r>
          </w:p>
        </w:tc>
        <w:tc>
          <w:tcPr>
            <w:tcW w:type="dxa" w:w="6984"/>
            <w:shd w:val="clear" w:fill="FBF3F3"/>
          </w:tcPr>
          <w:p>
            <w:r>
              <w:rPr>
                <w:rFonts w:ascii="Cambria" w:hAnsi="Cambria"/>
                <w:b w:val="0"/>
                <w:i w:val="0"/>
                <w:color w:val="3A3A3A"/>
                <w:sz w:val="20"/>
              </w:rPr>
              <w:t>PostgreSQL, pgvector</w:t>
            </w:r>
          </w:p>
        </w:tc>
      </w:tr>
      <w:tr>
        <w:tc>
          <w:tcPr>
            <w:tcW w:type="dxa" w:w="3456"/>
          </w:tcPr>
          <w:p>
            <w:r>
              <w:rPr>
                <w:rFonts w:ascii="Cambria" w:hAnsi="Cambria"/>
                <w:b w:val="0"/>
                <w:i w:val="0"/>
                <w:color w:val="3A3A3A"/>
                <w:sz w:val="20"/>
              </w:rPr>
              <w:t>Embeddings</w:t>
            </w:r>
          </w:p>
        </w:tc>
        <w:tc>
          <w:tcPr>
            <w:tcW w:type="dxa" w:w="6984"/>
          </w:tcPr>
          <w:p>
            <w:r>
              <w:rPr>
                <w:rFonts w:ascii="Cambria" w:hAnsi="Cambria"/>
                <w:b w:val="0"/>
                <w:i w:val="0"/>
                <w:color w:val="3A3A3A"/>
                <w:sz w:val="20"/>
              </w:rPr>
              <w:t>sentence-transformers</w:t>
            </w:r>
          </w:p>
        </w:tc>
      </w:tr>
      <w:tr>
        <w:tc>
          <w:tcPr>
            <w:tcW w:type="dxa" w:w="3456"/>
            <w:shd w:val="clear" w:fill="FBF3F3"/>
          </w:tcPr>
          <w:p>
            <w:r>
              <w:rPr>
                <w:rFonts w:ascii="Cambria" w:hAnsi="Cambria"/>
                <w:b w:val="0"/>
                <w:i w:val="0"/>
                <w:color w:val="3A3A3A"/>
                <w:sz w:val="20"/>
              </w:rPr>
              <w:t>Generation</w:t>
            </w:r>
          </w:p>
        </w:tc>
        <w:tc>
          <w:tcPr>
            <w:tcW w:type="dxa" w:w="6984"/>
            <w:shd w:val="clear" w:fill="FBF3F3"/>
          </w:tcPr>
          <w:p>
            <w:r>
              <w:rPr>
                <w:rFonts w:ascii="Cambria" w:hAnsi="Cambria"/>
                <w:b w:val="0"/>
                <w:i w:val="0"/>
                <w:color w:val="3A3A3A"/>
                <w:sz w:val="20"/>
              </w:rPr>
              <w:t>LLM API, abstracted behind a provider-agnostic interface</w:t>
            </w:r>
          </w:p>
        </w:tc>
      </w:tr>
      <w:tr>
        <w:tc>
          <w:tcPr>
            <w:tcW w:type="dxa" w:w="3456"/>
          </w:tcPr>
          <w:p>
            <w:r>
              <w:rPr>
                <w:rFonts w:ascii="Cambria" w:hAnsi="Cambria"/>
                <w:b w:val="0"/>
                <w:i w:val="0"/>
                <w:color w:val="3A3A3A"/>
                <w:sz w:val="20"/>
              </w:rPr>
              <w:t>Machine learning</w:t>
            </w:r>
          </w:p>
        </w:tc>
        <w:tc>
          <w:tcPr>
            <w:tcW w:type="dxa" w:w="6984"/>
          </w:tcPr>
          <w:p>
            <w:r>
              <w:rPr>
                <w:rFonts w:ascii="Cambria" w:hAnsi="Cambria"/>
                <w:b w:val="0"/>
                <w:i w:val="0"/>
                <w:color w:val="3A3A3A"/>
                <w:sz w:val="20"/>
              </w:rPr>
              <w:t>scikit-learn and/or XGBoost</w:t>
            </w:r>
          </w:p>
        </w:tc>
      </w:tr>
      <w:tr>
        <w:tc>
          <w:tcPr>
            <w:tcW w:type="dxa" w:w="3456"/>
            <w:shd w:val="clear" w:fill="FBF3F3"/>
          </w:tcPr>
          <w:p>
            <w:r>
              <w:rPr>
                <w:rFonts w:ascii="Cambria" w:hAnsi="Cambria"/>
                <w:b w:val="0"/>
                <w:i w:val="0"/>
                <w:color w:val="3A3A3A"/>
                <w:sz w:val="20"/>
              </w:rPr>
              <w:t>Migrations</w:t>
            </w:r>
          </w:p>
        </w:tc>
        <w:tc>
          <w:tcPr>
            <w:tcW w:type="dxa" w:w="6984"/>
            <w:shd w:val="clear" w:fill="FBF3F3"/>
          </w:tcPr>
          <w:p>
            <w:r>
              <w:rPr>
                <w:rFonts w:ascii="Cambria" w:hAnsi="Cambria"/>
                <w:b w:val="0"/>
                <w:i w:val="0"/>
                <w:color w:val="3A3A3A"/>
                <w:sz w:val="20"/>
              </w:rPr>
              <w:t>Alembic</w:t>
            </w:r>
          </w:p>
        </w:tc>
      </w:tr>
      <w:tr>
        <w:tc>
          <w:tcPr>
            <w:tcW w:type="dxa" w:w="3456"/>
          </w:tcPr>
          <w:p>
            <w:r>
              <w:rPr>
                <w:rFonts w:ascii="Cambria" w:hAnsi="Cambria"/>
                <w:b w:val="0"/>
                <w:i w:val="0"/>
                <w:color w:val="3A3A3A"/>
                <w:sz w:val="20"/>
              </w:rPr>
              <w:t>Local development</w:t>
            </w:r>
          </w:p>
        </w:tc>
        <w:tc>
          <w:tcPr>
            <w:tcW w:type="dxa" w:w="6984"/>
          </w:tcPr>
          <w:p>
            <w:r>
              <w:rPr>
                <w:rFonts w:ascii="Cambria" w:hAnsi="Cambria"/>
                <w:b w:val="0"/>
                <w:i w:val="0"/>
                <w:color w:val="3A3A3A"/>
                <w:sz w:val="20"/>
              </w:rPr>
              <w:t>Docker Compose</w:t>
            </w:r>
          </w:p>
        </w:tc>
      </w:tr>
      <w:tr>
        <w:tc>
          <w:tcPr>
            <w:tcW w:type="dxa" w:w="3456"/>
            <w:shd w:val="clear" w:fill="FBF3F3"/>
          </w:tcPr>
          <w:p>
            <w:r>
              <w:rPr>
                <w:rFonts w:ascii="Cambria" w:hAnsi="Cambria"/>
                <w:b w:val="0"/>
                <w:i w:val="0"/>
                <w:color w:val="3A3A3A"/>
                <w:sz w:val="20"/>
              </w:rPr>
              <w:t>Version control</w:t>
            </w:r>
          </w:p>
        </w:tc>
        <w:tc>
          <w:tcPr>
            <w:tcW w:type="dxa" w:w="6984"/>
            <w:shd w:val="clear" w:fill="FBF3F3"/>
          </w:tcPr>
          <w:p>
            <w:r>
              <w:rPr>
                <w:rFonts w:ascii="Cambria" w:hAnsi="Cambria"/>
                <w:b w:val="0"/>
                <w:i w:val="0"/>
                <w:color w:val="3A3A3A"/>
                <w:sz w:val="20"/>
              </w:rPr>
              <w:t>Git / GitHub</w:t>
            </w:r>
          </w:p>
        </w:tc>
      </w:tr>
    </w:tbl>
    <w:p>
      <w:pPr>
        <w:spacing w:after="40"/>
      </w:pPr>
    </w:p>
    <w:tbl>
      <w:tblPr>
        <w:tblW w:type="auto" w:w="0"/>
        <w:jc w:val="center"/>
        <w:tblBorders>
          <w:top w:val="single" w:sz="4" w:color="D9B7B7"/>
          <w:left w:val="single" w:sz="4" w:color="D9B7B7"/>
          <w:bottom w:val="single" w:sz="4" w:color="D9B7B7"/>
          <w:right w:val="single" w:sz="4" w:color="D9B7B7"/>
          <w:insideH w:val="single" w:sz="4" w:color="D9B7B7"/>
          <w:insideV w:val="single" w:sz="4" w:color="D9B7B7"/>
        </w:tblBorders>
        <w:tblLayout w:type="fixed"/>
        <w:tblLook w:firstColumn="1" w:firstRow="1" w:lastColumn="0" w:lastRow="0" w:noHBand="0" w:noVBand="1" w:val="04A0"/>
      </w:tblPr>
      <w:tblGrid>
        <w:gridCol w:w="10440"/>
      </w:tblGrid>
      <w:tr>
        <w:tc>
          <w:tcPr>
            <w:tcW w:type="dxa" w:w="10440"/>
            <w:shd w:val="clear" w:fill="FBEEEE"/>
          </w:tcPr>
          <w:p>
            <w:pPr>
              <w:spacing w:after="80"/>
            </w:pPr>
            <w:r>
              <w:rPr>
                <w:rFonts w:ascii="Cambria" w:hAnsi="Cambria"/>
                <w:b/>
                <w:i w:val="0"/>
                <w:color w:val="7A0000"/>
                <w:sz w:val="22"/>
              </w:rPr>
              <w:t>WHY THIS KEEPS THE PROJECT ACHIEVABLE</w:t>
            </w:r>
          </w:p>
          <w:p>
            <w:pPr>
              <w:spacing w:after="80"/>
            </w:pPr>
            <w:r>
              <w:rPr>
                <w:rFonts w:ascii="Cambria" w:hAnsi="Cambria"/>
                <w:b w:val="0"/>
                <w:i w:val="0"/>
                <w:color w:val="3A3A3A"/>
                <w:sz w:val="21"/>
              </w:rPr>
              <w:t>Every component above is either a pretrained model used as-is, a well-documented open-source library, or a lightweight local tool — nothing requires GPU training infrastructure, a paid cloud subscription, or production message-queue infrastructure. This keeps the available 12 weeks focused on the confidence-model design and the end-to-end evaluation, which is where the project's actual contribution lies.</w:t>
            </w:r>
          </w:p>
        </w:tc>
      </w:tr>
    </w:tbl>
    <w:p>
      <w:pPr>
        <w:spacing w:after="40"/>
      </w:pPr>
    </w:p>
    <w:p>
      <w:pPr>
        <w:pStyle w:val="Heading1"/>
      </w:pPr>
      <w:r>
        <w:t>15. 12-Week Work Plan</w:t>
      </w:r>
    </w:p>
    <w:p>
      <w:pPr>
        <w:spacing w:after="160"/>
      </w:pPr>
      <w:r>
        <w:rPr>
          <w:rFonts w:ascii="Cambria" w:hAnsi="Cambria"/>
          <w:b w:val="0"/>
          <w:i w:val="0"/>
          <w:color w:val="3A3A3A"/>
          <w:sz w:val="22"/>
        </w:rPr>
        <w:t>This is a summary; the full week-by-week task breakdown for all three team members, including per-person tasks, integration work, weekly deliverables, and mentor-review evidence, is provided in the companion document TicketSense_12_Week_Roadmap.docx.</w:t>
      </w:r>
    </w:p>
    <w:tbl>
      <w:tblPr>
        <w:tblW w:type="auto" w:w="0"/>
        <w:jc w:val="center"/>
        <w:tblBorders>
          <w:top w:val="single" w:sz="4" w:color="D9B7B7"/>
          <w:left w:val="single" w:sz="4" w:color="D9B7B7"/>
          <w:bottom w:val="single" w:sz="4" w:color="D9B7B7"/>
          <w:right w:val="single" w:sz="4" w:color="D9B7B7"/>
          <w:insideH w:val="single" w:sz="4" w:color="D9B7B7"/>
          <w:insideV w:val="single" w:sz="4" w:color="D9B7B7"/>
        </w:tblBorders>
        <w:tblLayout w:type="fixed"/>
        <w:tblLook w:firstColumn="1" w:firstRow="1" w:lastColumn="0" w:lastRow="0" w:noHBand="0" w:noVBand="1" w:val="04A0"/>
      </w:tblPr>
      <w:tblGrid>
        <w:gridCol w:w="3480"/>
        <w:gridCol w:w="3480"/>
        <w:gridCol w:w="3480"/>
      </w:tblGrid>
      <w:tr>
        <w:tc>
          <w:tcPr>
            <w:tcW w:type="dxa" w:w="864"/>
            <w:shd w:val="clear" w:fill="C00000"/>
          </w:tcPr>
          <w:p>
            <w:r>
              <w:rPr>
                <w:rFonts w:ascii="Cambria" w:hAnsi="Cambria"/>
                <w:b/>
                <w:i w:val="0"/>
                <w:color w:val="FFFFFF"/>
                <w:sz w:val="21"/>
              </w:rPr>
              <w:t>Week</w:t>
            </w:r>
          </w:p>
        </w:tc>
        <w:tc>
          <w:tcPr>
            <w:tcW w:type="dxa" w:w="5184"/>
            <w:shd w:val="clear" w:fill="C00000"/>
          </w:tcPr>
          <w:p>
            <w:r>
              <w:rPr>
                <w:rFonts w:ascii="Cambria" w:hAnsi="Cambria"/>
                <w:b/>
                <w:i w:val="0"/>
                <w:color w:val="FFFFFF"/>
                <w:sz w:val="21"/>
              </w:rPr>
              <w:t>Focus</w:t>
            </w:r>
          </w:p>
        </w:tc>
        <w:tc>
          <w:tcPr>
            <w:tcW w:type="dxa" w:w="4392"/>
            <w:shd w:val="clear" w:fill="C00000"/>
          </w:tcPr>
          <w:p>
            <w:r>
              <w:rPr>
                <w:rFonts w:ascii="Cambria" w:hAnsi="Cambria"/>
                <w:b/>
                <w:i w:val="0"/>
                <w:color w:val="FFFFFF"/>
                <w:sz w:val="21"/>
              </w:rPr>
              <w:t>Key Artefacts</w:t>
            </w:r>
          </w:p>
        </w:tc>
      </w:tr>
      <w:tr>
        <w:tc>
          <w:tcPr>
            <w:tcW w:type="dxa" w:w="864"/>
          </w:tcPr>
          <w:p>
            <w:r>
              <w:rPr>
                <w:rFonts w:ascii="Cambria" w:hAnsi="Cambria"/>
                <w:b w:val="0"/>
                <w:i w:val="0"/>
                <w:color w:val="3A3A3A"/>
                <w:sz w:val="20"/>
              </w:rPr>
              <w:t>1</w:t>
            </w:r>
          </w:p>
        </w:tc>
        <w:tc>
          <w:tcPr>
            <w:tcW w:type="dxa" w:w="5184"/>
          </w:tcPr>
          <w:p>
            <w:r>
              <w:rPr>
                <w:rFonts w:ascii="Cambria" w:hAnsi="Cambria"/>
                <w:b w:val="0"/>
                <w:i w:val="0"/>
                <w:color w:val="3A3A3A"/>
                <w:sz w:val="20"/>
              </w:rPr>
              <w:t>Understanding, research, repo setup, architecture finalization</w:t>
            </w:r>
          </w:p>
        </w:tc>
        <w:tc>
          <w:tcPr>
            <w:tcW w:type="dxa" w:w="4392"/>
          </w:tcPr>
          <w:p>
            <w:r>
              <w:rPr>
                <w:rFonts w:ascii="Cambria" w:hAnsi="Cambria"/>
                <w:b w:val="0"/>
                <w:i w:val="0"/>
                <w:color w:val="3A3A3A"/>
                <w:sz w:val="20"/>
              </w:rPr>
              <w:t>Finalised architecture diagram, repo scaffold, dev environment running</w:t>
            </w:r>
          </w:p>
        </w:tc>
      </w:tr>
      <w:tr>
        <w:tc>
          <w:tcPr>
            <w:tcW w:type="dxa" w:w="864"/>
            <w:shd w:val="clear" w:fill="FBF3F3"/>
          </w:tcPr>
          <w:p>
            <w:r>
              <w:rPr>
                <w:rFonts w:ascii="Cambria" w:hAnsi="Cambria"/>
                <w:b w:val="0"/>
                <w:i w:val="0"/>
                <w:color w:val="3A3A3A"/>
                <w:sz w:val="20"/>
              </w:rPr>
              <w:t>2</w:t>
            </w:r>
          </w:p>
        </w:tc>
        <w:tc>
          <w:tcPr>
            <w:tcW w:type="dxa" w:w="5184"/>
            <w:shd w:val="clear" w:fill="FBF3F3"/>
          </w:tcPr>
          <w:p>
            <w:r>
              <w:rPr>
                <w:rFonts w:ascii="Cambria" w:hAnsi="Cambria"/>
                <w:b w:val="0"/>
                <w:i w:val="0"/>
                <w:color w:val="3A3A3A"/>
                <w:sz w:val="20"/>
              </w:rPr>
              <w:t>Database design, backend + frontend foundation, dataset/resource planning</w:t>
            </w:r>
          </w:p>
        </w:tc>
        <w:tc>
          <w:tcPr>
            <w:tcW w:type="dxa" w:w="4392"/>
            <w:shd w:val="clear" w:fill="FBF3F3"/>
          </w:tcPr>
          <w:p>
            <w:r>
              <w:rPr>
                <w:rFonts w:ascii="Cambria" w:hAnsi="Cambria"/>
                <w:b w:val="0"/>
                <w:i w:val="0"/>
                <w:color w:val="3A3A3A"/>
                <w:sz w:val="20"/>
              </w:rPr>
              <w:t>Schema + migrations, FastAPI skeleton, React skeleton, dataset plan — Milestone</w:t>
            </w:r>
          </w:p>
        </w:tc>
      </w:tr>
      <w:tr>
        <w:tc>
          <w:tcPr>
            <w:tcW w:type="dxa" w:w="864"/>
          </w:tcPr>
          <w:p>
            <w:r>
              <w:rPr>
                <w:rFonts w:ascii="Cambria" w:hAnsi="Cambria"/>
                <w:b w:val="0"/>
                <w:i w:val="0"/>
                <w:color w:val="3A3A3A"/>
                <w:sz w:val="20"/>
              </w:rPr>
              <w:t>3</w:t>
            </w:r>
          </w:p>
        </w:tc>
        <w:tc>
          <w:tcPr>
            <w:tcW w:type="dxa" w:w="5184"/>
          </w:tcPr>
          <w:p>
            <w:r>
              <w:rPr>
                <w:rFonts w:ascii="Cambria" w:hAnsi="Cambria"/>
                <w:b w:val="0"/>
                <w:i w:val="0"/>
                <w:color w:val="3A3A3A"/>
                <w:sz w:val="20"/>
              </w:rPr>
              <w:t>Authentication, roles, ticket intake, ticket lifecycle</w:t>
            </w:r>
          </w:p>
        </w:tc>
        <w:tc>
          <w:tcPr>
            <w:tcW w:type="dxa" w:w="4392"/>
          </w:tcPr>
          <w:p>
            <w:r>
              <w:rPr>
                <w:rFonts w:ascii="Cambria" w:hAnsi="Cambria"/>
                <w:b w:val="0"/>
                <w:i w:val="0"/>
                <w:color w:val="3A3A3A"/>
                <w:sz w:val="20"/>
              </w:rPr>
              <w:t>Login + RBAC, ticket creation/list/detail endpoints, ticket status states</w:t>
            </w:r>
          </w:p>
        </w:tc>
      </w:tr>
      <w:tr>
        <w:tc>
          <w:tcPr>
            <w:tcW w:type="dxa" w:w="864"/>
            <w:shd w:val="clear" w:fill="FBF3F3"/>
          </w:tcPr>
          <w:p>
            <w:r>
              <w:rPr>
                <w:rFonts w:ascii="Cambria" w:hAnsi="Cambria"/>
                <w:b w:val="0"/>
                <w:i w:val="0"/>
                <w:color w:val="3A3A3A"/>
                <w:sz w:val="20"/>
              </w:rPr>
              <w:t>4</w:t>
            </w:r>
          </w:p>
        </w:tc>
        <w:tc>
          <w:tcPr>
            <w:tcW w:type="dxa" w:w="5184"/>
            <w:shd w:val="clear" w:fill="FBF3F3"/>
          </w:tcPr>
          <w:p>
            <w:r>
              <w:rPr>
                <w:rFonts w:ascii="Cambria" w:hAnsi="Cambria"/>
                <w:b w:val="0"/>
                <w:i w:val="0"/>
                <w:color w:val="3A3A3A"/>
                <w:sz w:val="20"/>
              </w:rPr>
              <w:t>Ticket classification and routing</w:t>
            </w:r>
          </w:p>
        </w:tc>
        <w:tc>
          <w:tcPr>
            <w:tcW w:type="dxa" w:w="4392"/>
            <w:shd w:val="clear" w:fill="FBF3F3"/>
          </w:tcPr>
          <w:p>
            <w:r>
              <w:rPr>
                <w:rFonts w:ascii="Cambria" w:hAnsi="Cambria"/>
                <w:b w:val="0"/>
                <w:i w:val="0"/>
                <w:color w:val="3A3A3A"/>
                <w:sz w:val="20"/>
              </w:rPr>
              <w:t>Trained classification model, routing logic — Milestone</w:t>
            </w:r>
          </w:p>
        </w:tc>
      </w:tr>
      <w:tr>
        <w:tc>
          <w:tcPr>
            <w:tcW w:type="dxa" w:w="864"/>
          </w:tcPr>
          <w:p>
            <w:r>
              <w:rPr>
                <w:rFonts w:ascii="Cambria" w:hAnsi="Cambria"/>
                <w:b w:val="0"/>
                <w:i w:val="0"/>
                <w:color w:val="3A3A3A"/>
                <w:sz w:val="20"/>
              </w:rPr>
              <w:t>5</w:t>
            </w:r>
          </w:p>
        </w:tc>
        <w:tc>
          <w:tcPr>
            <w:tcW w:type="dxa" w:w="5184"/>
          </w:tcPr>
          <w:p>
            <w:r>
              <w:rPr>
                <w:rFonts w:ascii="Cambria" w:hAnsi="Cambria"/>
                <w:b w:val="0"/>
                <w:i w:val="0"/>
                <w:color w:val="3A3A3A"/>
                <w:sz w:val="20"/>
              </w:rPr>
              <w:t>Knowledge-base ingestion, embeddings, pgvector, retrieval pipeline</w:t>
            </w:r>
          </w:p>
        </w:tc>
        <w:tc>
          <w:tcPr>
            <w:tcW w:type="dxa" w:w="4392"/>
          </w:tcPr>
          <w:p>
            <w:r>
              <w:rPr>
                <w:rFonts w:ascii="Cambria" w:hAnsi="Cambria"/>
                <w:b w:val="0"/>
                <w:i w:val="0"/>
                <w:color w:val="3A3A3A"/>
                <w:sz w:val="20"/>
              </w:rPr>
              <w:t>KB authored and embedded, retrieval returning relevant passages</w:t>
            </w:r>
          </w:p>
        </w:tc>
      </w:tr>
      <w:tr>
        <w:tc>
          <w:tcPr>
            <w:tcW w:type="dxa" w:w="864"/>
            <w:shd w:val="clear" w:fill="FBF3F3"/>
          </w:tcPr>
          <w:p>
            <w:r>
              <w:rPr>
                <w:rFonts w:ascii="Cambria" w:hAnsi="Cambria"/>
                <w:b w:val="0"/>
                <w:i w:val="0"/>
                <w:color w:val="3A3A3A"/>
                <w:sz w:val="20"/>
              </w:rPr>
              <w:t>6</w:t>
            </w:r>
          </w:p>
        </w:tc>
        <w:tc>
          <w:tcPr>
            <w:tcW w:type="dxa" w:w="5184"/>
            <w:shd w:val="clear" w:fill="FBF3F3"/>
          </w:tcPr>
          <w:p>
            <w:r>
              <w:rPr>
                <w:rFonts w:ascii="Cambria" w:hAnsi="Cambria"/>
                <w:b w:val="0"/>
                <w:i w:val="0"/>
                <w:color w:val="3A3A3A"/>
                <w:sz w:val="20"/>
              </w:rPr>
              <w:t>RAG pipeline and grounded draft generation</w:t>
            </w:r>
          </w:p>
        </w:tc>
        <w:tc>
          <w:tcPr>
            <w:tcW w:type="dxa" w:w="4392"/>
            <w:shd w:val="clear" w:fill="FBF3F3"/>
          </w:tcPr>
          <w:p>
            <w:r>
              <w:rPr>
                <w:rFonts w:ascii="Cambria" w:hAnsi="Cambria"/>
                <w:b w:val="0"/>
                <w:i w:val="0"/>
                <w:color w:val="3A3A3A"/>
                <w:sz w:val="20"/>
              </w:rPr>
              <w:t>End-to-end cited draft generation — Milestone</w:t>
            </w:r>
          </w:p>
        </w:tc>
      </w:tr>
      <w:tr>
        <w:tc>
          <w:tcPr>
            <w:tcW w:type="dxa" w:w="864"/>
          </w:tcPr>
          <w:p>
            <w:r>
              <w:rPr>
                <w:rFonts w:ascii="Cambria" w:hAnsi="Cambria"/>
                <w:b w:val="0"/>
                <w:i w:val="0"/>
                <w:color w:val="3A3A3A"/>
                <w:sz w:val="20"/>
              </w:rPr>
              <w:t>7</w:t>
            </w:r>
          </w:p>
        </w:tc>
        <w:tc>
          <w:tcPr>
            <w:tcW w:type="dxa" w:w="5184"/>
          </w:tcPr>
          <w:p>
            <w:r>
              <w:rPr>
                <w:rFonts w:ascii="Cambria" w:hAnsi="Cambria"/>
                <w:b w:val="0"/>
                <w:i w:val="0"/>
                <w:color w:val="3A3A3A"/>
                <w:sz w:val="20"/>
              </w:rPr>
              <w:t>Attachment processing / OCR and evidence handling</w:t>
            </w:r>
          </w:p>
        </w:tc>
        <w:tc>
          <w:tcPr>
            <w:tcW w:type="dxa" w:w="4392"/>
          </w:tcPr>
          <w:p>
            <w:r>
              <w:rPr>
                <w:rFonts w:ascii="Cambria" w:hAnsi="Cambria"/>
                <w:b w:val="0"/>
                <w:i w:val="0"/>
                <w:color w:val="3A3A3A"/>
                <w:sz w:val="20"/>
              </w:rPr>
              <w:t>OCR wired into intake, evidence attached to tickets</w:t>
            </w:r>
          </w:p>
        </w:tc>
      </w:tr>
      <w:tr>
        <w:tc>
          <w:tcPr>
            <w:tcW w:type="dxa" w:w="864"/>
            <w:shd w:val="clear" w:fill="FBF3F3"/>
          </w:tcPr>
          <w:p>
            <w:r>
              <w:rPr>
                <w:rFonts w:ascii="Cambria" w:hAnsi="Cambria"/>
                <w:b w:val="0"/>
                <w:i w:val="0"/>
                <w:color w:val="3A3A3A"/>
                <w:sz w:val="20"/>
              </w:rPr>
              <w:t>8</w:t>
            </w:r>
          </w:p>
        </w:tc>
        <w:tc>
          <w:tcPr>
            <w:tcW w:type="dxa" w:w="5184"/>
            <w:shd w:val="clear" w:fill="FBF3F3"/>
          </w:tcPr>
          <w:p>
            <w:r>
              <w:rPr>
                <w:rFonts w:ascii="Cambria" w:hAnsi="Cambria"/>
                <w:b w:val="0"/>
                <w:i w:val="0"/>
                <w:color w:val="3A3A3A"/>
                <w:sz w:val="20"/>
              </w:rPr>
              <w:t>Confidence model feature engineering and initial model</w:t>
            </w:r>
          </w:p>
        </w:tc>
        <w:tc>
          <w:tcPr>
            <w:tcW w:type="dxa" w:w="4392"/>
            <w:shd w:val="clear" w:fill="FBF3F3"/>
          </w:tcPr>
          <w:p>
            <w:r>
              <w:rPr>
                <w:rFonts w:ascii="Cambria" w:hAnsi="Cambria"/>
                <w:b w:val="0"/>
                <w:i w:val="0"/>
                <w:color w:val="3A3A3A"/>
                <w:sz w:val="20"/>
              </w:rPr>
              <w:t>Feature pipeline, first trained confidence classifier — Milestone</w:t>
            </w:r>
          </w:p>
        </w:tc>
      </w:tr>
      <w:tr>
        <w:tc>
          <w:tcPr>
            <w:tcW w:type="dxa" w:w="864"/>
          </w:tcPr>
          <w:p>
            <w:r>
              <w:rPr>
                <w:rFonts w:ascii="Cambria" w:hAnsi="Cambria"/>
                <w:b w:val="0"/>
                <w:i w:val="0"/>
                <w:color w:val="3A3A3A"/>
                <w:sz w:val="20"/>
              </w:rPr>
              <w:t>9</w:t>
            </w:r>
          </w:p>
        </w:tc>
        <w:tc>
          <w:tcPr>
            <w:tcW w:type="dxa" w:w="5184"/>
          </w:tcPr>
          <w:p>
            <w:r>
              <w:rPr>
                <w:rFonts w:ascii="Cambria" w:hAnsi="Cambria"/>
                <w:b w:val="0"/>
                <w:i w:val="0"/>
                <w:color w:val="3A3A3A"/>
                <w:sz w:val="20"/>
              </w:rPr>
              <w:t>Confidence gate and human review workflow</w:t>
            </w:r>
          </w:p>
        </w:tc>
        <w:tc>
          <w:tcPr>
            <w:tcW w:type="dxa" w:w="4392"/>
          </w:tcPr>
          <w:p>
            <w:r>
              <w:rPr>
                <w:rFonts w:ascii="Cambria" w:hAnsi="Cambria"/>
                <w:b w:val="0"/>
                <w:i w:val="0"/>
                <w:color w:val="3A3A3A"/>
                <w:sz w:val="20"/>
              </w:rPr>
              <w:t>Threshold-based gating, reviewer UI (accept/edit/reject/escalate)</w:t>
            </w:r>
          </w:p>
        </w:tc>
      </w:tr>
      <w:tr>
        <w:tc>
          <w:tcPr>
            <w:tcW w:type="dxa" w:w="864"/>
            <w:shd w:val="clear" w:fill="FBF3F3"/>
          </w:tcPr>
          <w:p>
            <w:r>
              <w:rPr>
                <w:rFonts w:ascii="Cambria" w:hAnsi="Cambria"/>
                <w:b w:val="0"/>
                <w:i w:val="0"/>
                <w:color w:val="3A3A3A"/>
                <w:sz w:val="20"/>
              </w:rPr>
              <w:t>10</w:t>
            </w:r>
          </w:p>
        </w:tc>
        <w:tc>
          <w:tcPr>
            <w:tcW w:type="dxa" w:w="5184"/>
            <w:shd w:val="clear" w:fill="FBF3F3"/>
          </w:tcPr>
          <w:p>
            <w:r>
              <w:rPr>
                <w:rFonts w:ascii="Cambria" w:hAnsi="Cambria"/>
                <w:b w:val="0"/>
                <w:i w:val="0"/>
                <w:color w:val="3A3A3A"/>
                <w:sz w:val="20"/>
              </w:rPr>
              <w:t>Feedback logging, analytics, evaluation metrics, integration testing</w:t>
            </w:r>
          </w:p>
        </w:tc>
        <w:tc>
          <w:tcPr>
            <w:tcW w:type="dxa" w:w="4392"/>
            <w:shd w:val="clear" w:fill="FBF3F3"/>
          </w:tcPr>
          <w:p>
            <w:r>
              <w:rPr>
                <w:rFonts w:ascii="Cambria" w:hAnsi="Cambria"/>
                <w:b w:val="0"/>
                <w:i w:val="0"/>
                <w:color w:val="3A3A3A"/>
                <w:sz w:val="20"/>
              </w:rPr>
              <w:t>Feedback table populated, analytics dashboard, first evaluation numbers — Milestone</w:t>
            </w:r>
          </w:p>
        </w:tc>
      </w:tr>
      <w:tr>
        <w:tc>
          <w:tcPr>
            <w:tcW w:type="dxa" w:w="864"/>
          </w:tcPr>
          <w:p>
            <w:r>
              <w:rPr>
                <w:rFonts w:ascii="Cambria" w:hAnsi="Cambria"/>
                <w:b w:val="0"/>
                <w:i w:val="0"/>
                <w:color w:val="3A3A3A"/>
                <w:sz w:val="20"/>
              </w:rPr>
              <w:t>11</w:t>
            </w:r>
          </w:p>
        </w:tc>
        <w:tc>
          <w:tcPr>
            <w:tcW w:type="dxa" w:w="5184"/>
          </w:tcPr>
          <w:p>
            <w:r>
              <w:rPr>
                <w:rFonts w:ascii="Cambria" w:hAnsi="Cambria"/>
                <w:b w:val="0"/>
                <w:i w:val="0"/>
                <w:color w:val="3A3A3A"/>
                <w:sz w:val="20"/>
              </w:rPr>
              <w:t>Full-system testing, model evaluation, UI/UX refinement, performance testing</w:t>
            </w:r>
          </w:p>
        </w:tc>
        <w:tc>
          <w:tcPr>
            <w:tcW w:type="dxa" w:w="4392"/>
          </w:tcPr>
          <w:p>
            <w:r>
              <w:rPr>
                <w:rFonts w:ascii="Cambria" w:hAnsi="Cambria"/>
                <w:b w:val="0"/>
                <w:i w:val="0"/>
                <w:color w:val="3A3A3A"/>
                <w:sz w:val="20"/>
              </w:rPr>
              <w:t>Final metrics computed, polished UI, latency measured</w:t>
            </w:r>
          </w:p>
        </w:tc>
      </w:tr>
      <w:tr>
        <w:tc>
          <w:tcPr>
            <w:tcW w:type="dxa" w:w="864"/>
            <w:shd w:val="clear" w:fill="FBF3F3"/>
          </w:tcPr>
          <w:p>
            <w:r>
              <w:rPr>
                <w:rFonts w:ascii="Cambria" w:hAnsi="Cambria"/>
                <w:b w:val="0"/>
                <w:i w:val="0"/>
                <w:color w:val="3A3A3A"/>
                <w:sz w:val="20"/>
              </w:rPr>
              <w:t>12</w:t>
            </w:r>
          </w:p>
        </w:tc>
        <w:tc>
          <w:tcPr>
            <w:tcW w:type="dxa" w:w="5184"/>
            <w:shd w:val="clear" w:fill="FBF3F3"/>
          </w:tcPr>
          <w:p>
            <w:r>
              <w:rPr>
                <w:rFonts w:ascii="Cambria" w:hAnsi="Cambria"/>
                <w:b w:val="0"/>
                <w:i w:val="0"/>
                <w:color w:val="3A3A3A"/>
                <w:sz w:val="20"/>
              </w:rPr>
              <w:t>Final integration, documentation, results, demonstration, presentation, final report</w:t>
            </w:r>
          </w:p>
        </w:tc>
        <w:tc>
          <w:tcPr>
            <w:tcW w:type="dxa" w:w="4392"/>
            <w:shd w:val="clear" w:fill="FBF3F3"/>
          </w:tcPr>
          <w:p>
            <w:r>
              <w:rPr>
                <w:rFonts w:ascii="Cambria" w:hAnsi="Cambria"/>
                <w:b w:val="0"/>
                <w:i w:val="0"/>
                <w:color w:val="3A3A3A"/>
                <w:sz w:val="20"/>
              </w:rPr>
              <w:t>Working demo, final report, presentation — Milestone</w:t>
            </w:r>
          </w:p>
        </w:tc>
      </w:tr>
    </w:tbl>
    <w:p>
      <w:pPr>
        <w:spacing w:after="40"/>
      </w:pPr>
    </w:p>
    <w:p>
      <w:pPr>
        <w:pStyle w:val="Heading1"/>
      </w:pPr>
      <w:r>
        <w:t>16. Risk Assessment and Mitigation</w:t>
      </w:r>
    </w:p>
    <w:tbl>
      <w:tblPr>
        <w:tblW w:type="auto" w:w="0"/>
        <w:jc w:val="center"/>
        <w:tblBorders>
          <w:top w:val="single" w:sz="4" w:color="D9B7B7"/>
          <w:left w:val="single" w:sz="4" w:color="D9B7B7"/>
          <w:bottom w:val="single" w:sz="4" w:color="D9B7B7"/>
          <w:right w:val="single" w:sz="4" w:color="D9B7B7"/>
          <w:insideH w:val="single" w:sz="4" w:color="D9B7B7"/>
          <w:insideV w:val="single" w:sz="4" w:color="D9B7B7"/>
        </w:tblBorders>
        <w:tblLayout w:type="fixed"/>
        <w:tblLook w:firstColumn="1" w:firstRow="1" w:lastColumn="0" w:lastRow="0" w:noHBand="0" w:noVBand="1" w:val="04A0"/>
      </w:tblPr>
      <w:tblGrid>
        <w:gridCol w:w="5220"/>
        <w:gridCol w:w="5220"/>
      </w:tblGrid>
      <w:tr>
        <w:tc>
          <w:tcPr>
            <w:tcW w:type="dxa" w:w="4752"/>
            <w:shd w:val="clear" w:fill="C00000"/>
          </w:tcPr>
          <w:p>
            <w:r>
              <w:rPr>
                <w:rFonts w:ascii="Cambria" w:hAnsi="Cambria"/>
                <w:b/>
                <w:i w:val="0"/>
                <w:color w:val="FFFFFF"/>
                <w:sz w:val="21"/>
              </w:rPr>
              <w:t>Risk</w:t>
            </w:r>
          </w:p>
        </w:tc>
        <w:tc>
          <w:tcPr>
            <w:tcW w:type="dxa" w:w="5688"/>
            <w:shd w:val="clear" w:fill="C00000"/>
          </w:tcPr>
          <w:p>
            <w:r>
              <w:rPr>
                <w:rFonts w:ascii="Cambria" w:hAnsi="Cambria"/>
                <w:b/>
                <w:i w:val="0"/>
                <w:color w:val="FFFFFF"/>
                <w:sz w:val="21"/>
              </w:rPr>
              <w:t>Mitigation</w:t>
            </w:r>
          </w:p>
        </w:tc>
      </w:tr>
      <w:tr>
        <w:tc>
          <w:tcPr>
            <w:tcW w:type="dxa" w:w="4752"/>
          </w:tcPr>
          <w:p>
            <w:r>
              <w:rPr>
                <w:rFonts w:ascii="Cambria" w:hAnsi="Cambria"/>
                <w:b w:val="0"/>
                <w:i w:val="0"/>
                <w:color w:val="3A3A3A"/>
                <w:sz w:val="20"/>
              </w:rPr>
              <w:t>Confidence-model training data is scarce (only Weeks 8–11 to collect human review outcomes)</w:t>
            </w:r>
          </w:p>
        </w:tc>
        <w:tc>
          <w:tcPr>
            <w:tcW w:type="dxa" w:w="5688"/>
          </w:tcPr>
          <w:p>
            <w:r>
              <w:rPr>
                <w:rFonts w:ascii="Cambria" w:hAnsi="Cambria"/>
                <w:b w:val="0"/>
                <w:i w:val="0"/>
                <w:color w:val="3A3A3A"/>
                <w:sz w:val="20"/>
              </w:rPr>
              <w:t>Begin logging synthetic/simulated review decisions early during Week 8 development and testing, clearly labelled as synthetic, to supplement real outcomes collected from Week 9 onward</w:t>
            </w:r>
          </w:p>
        </w:tc>
      </w:tr>
      <w:tr>
        <w:tc>
          <w:tcPr>
            <w:tcW w:type="dxa" w:w="4752"/>
            <w:shd w:val="clear" w:fill="FBF3F3"/>
          </w:tcPr>
          <w:p>
            <w:r>
              <w:rPr>
                <w:rFonts w:ascii="Cambria" w:hAnsi="Cambria"/>
                <w:b w:val="0"/>
                <w:i w:val="0"/>
                <w:color w:val="3A3A3A"/>
                <w:sz w:val="20"/>
              </w:rPr>
              <w:t>Retrieval quality on a synthetic knowledge base may not reflect a real enterprise KB</w:t>
            </w:r>
          </w:p>
        </w:tc>
        <w:tc>
          <w:tcPr>
            <w:tcW w:type="dxa" w:w="5688"/>
            <w:shd w:val="clear" w:fill="FBF3F3"/>
          </w:tcPr>
          <w:p>
            <w:r>
              <w:rPr>
                <w:rFonts w:ascii="Cambria" w:hAnsi="Cambria"/>
                <w:b w:val="0"/>
                <w:i w:val="0"/>
                <w:color w:val="3A3A3A"/>
                <w:sz w:val="20"/>
              </w:rPr>
              <w:t>State this plainly as a limitation (Section 11.2); focus evaluation on relative comparison (verified vs. baseline) rather than absolute production-readiness claims</w:t>
            </w:r>
          </w:p>
        </w:tc>
      </w:tr>
      <w:tr>
        <w:tc>
          <w:tcPr>
            <w:tcW w:type="dxa" w:w="4752"/>
          </w:tcPr>
          <w:p>
            <w:r>
              <w:rPr>
                <w:rFonts w:ascii="Cambria" w:hAnsi="Cambria"/>
                <w:b w:val="0"/>
                <w:i w:val="0"/>
                <w:color w:val="3A3A3A"/>
                <w:sz w:val="20"/>
              </w:rPr>
              <w:t>OCR accuracy on hand-crafted screenshots is inconsistent</w:t>
            </w:r>
          </w:p>
        </w:tc>
        <w:tc>
          <w:tcPr>
            <w:tcW w:type="dxa" w:w="5688"/>
          </w:tcPr>
          <w:p>
            <w:r>
              <w:rPr>
                <w:rFonts w:ascii="Cambria" w:hAnsi="Cambria"/>
                <w:b w:val="0"/>
                <w:i w:val="0"/>
                <w:color w:val="3A3A3A"/>
                <w:sz w:val="20"/>
              </w:rPr>
              <w:t>Keep OCR scope to wiring in an existing pretrained library (Tesseract/EasyOCR); treat OCR confidence as one input feature rather than a component that must be perfected</w:t>
            </w:r>
          </w:p>
        </w:tc>
      </w:tr>
      <w:tr>
        <w:tc>
          <w:tcPr>
            <w:tcW w:type="dxa" w:w="4752"/>
            <w:shd w:val="clear" w:fill="FBF3F3"/>
          </w:tcPr>
          <w:p>
            <w:r>
              <w:rPr>
                <w:rFonts w:ascii="Cambria" w:hAnsi="Cambria"/>
                <w:b w:val="0"/>
                <w:i w:val="0"/>
                <w:color w:val="3A3A3A"/>
                <w:sz w:val="20"/>
              </w:rPr>
              <w:t>Three-member integration risk — backend, frontend, and AI/ML modules developed in parallel may not integrate cleanly</w:t>
            </w:r>
          </w:p>
        </w:tc>
        <w:tc>
          <w:tcPr>
            <w:tcW w:type="dxa" w:w="5688"/>
            <w:shd w:val="clear" w:fill="FBF3F3"/>
          </w:tcPr>
          <w:p>
            <w:r>
              <w:rPr>
                <w:rFonts w:ascii="Cambria" w:hAnsi="Cambria"/>
                <w:b w:val="0"/>
                <w:i w:val="0"/>
                <w:color w:val="3A3A3A"/>
                <w:sz w:val="20"/>
              </w:rPr>
              <w:t>Weekly team-integration tasks and shared API contracts agreed in Week 2; integration testing built into Weeks 10–11 rather than left to Week 12 alone</w:t>
            </w:r>
          </w:p>
        </w:tc>
      </w:tr>
      <w:tr>
        <w:tc>
          <w:tcPr>
            <w:tcW w:type="dxa" w:w="4752"/>
          </w:tcPr>
          <w:p>
            <w:r>
              <w:rPr>
                <w:rFonts w:ascii="Cambria" w:hAnsi="Cambria"/>
                <w:b w:val="0"/>
                <w:i w:val="0"/>
                <w:color w:val="3A3A3A"/>
                <w:sz w:val="20"/>
              </w:rPr>
              <w:t>Weeks 8–9 (confidence model + gate) are schedule-critical and depend on Week 6's RAG pipeline actually producing usable retrieval signals</w:t>
            </w:r>
          </w:p>
        </w:tc>
        <w:tc>
          <w:tcPr>
            <w:tcW w:type="dxa" w:w="5688"/>
          </w:tcPr>
          <w:p>
            <w:r>
              <w:rPr>
                <w:rFonts w:ascii="Cambria" w:hAnsi="Cambria"/>
                <w:b w:val="0"/>
                <w:i w:val="0"/>
                <w:color w:val="3A3A3A"/>
                <w:sz w:val="20"/>
              </w:rPr>
              <w:t>Treat Week 6 as a hard dependency gate; if RAG quality is insufficient by end of Week 6, prioritise fixing retrieval before starting confidence-model feature engineering</w:t>
            </w:r>
          </w:p>
        </w:tc>
      </w:tr>
      <w:tr>
        <w:tc>
          <w:tcPr>
            <w:tcW w:type="dxa" w:w="4752"/>
            <w:shd w:val="clear" w:fill="FBF3F3"/>
          </w:tcPr>
          <w:p>
            <w:r>
              <w:rPr>
                <w:rFonts w:ascii="Cambria" w:hAnsi="Cambria"/>
                <w:b w:val="0"/>
                <w:i w:val="0"/>
                <w:color w:val="3A3A3A"/>
                <w:sz w:val="20"/>
              </w:rPr>
              <w:t>Dataset labelling (classification splits, review outcomes) is time-consuming for a 3-person team</w:t>
            </w:r>
          </w:p>
        </w:tc>
        <w:tc>
          <w:tcPr>
            <w:tcW w:type="dxa" w:w="5688"/>
            <w:shd w:val="clear" w:fill="FBF3F3"/>
          </w:tcPr>
          <w:p>
            <w:r>
              <w:rPr>
                <w:rFonts w:ascii="Cambria" w:hAnsi="Cambria"/>
                <w:b w:val="0"/>
                <w:i w:val="0"/>
                <w:color w:val="3A3A3A"/>
                <w:sz w:val="20"/>
              </w:rPr>
              <w:t>Distribute labelling across all three members as a shared task rather than assigning it to one person; cap the evaluation set size to what is realistically labellable</w:t>
            </w:r>
          </w:p>
        </w:tc>
      </w:tr>
    </w:tbl>
    <w:p>
      <w:pPr>
        <w:spacing w:after="40"/>
      </w:pPr>
    </w:p>
    <w:p>
      <w:pPr>
        <w:pStyle w:val="Heading1"/>
      </w:pPr>
      <w:r>
        <w:t>17. Expected Outcomes and Deliverables</w:t>
      </w:r>
    </w:p>
    <w:p>
      <w:pPr>
        <w:pStyle w:val="ListBullet"/>
        <w:spacing w:after="80"/>
      </w:pPr>
      <w:r>
        <w:rPr>
          <w:rFonts w:ascii="Cambria" w:hAnsi="Cambria"/>
          <w:b/>
          <w:i w:val="0"/>
          <w:color w:val="3A3A3A"/>
          <w:sz w:val="22"/>
        </w:rPr>
        <w:t xml:space="preserve">Working prototype  </w:t>
      </w:r>
      <w:r>
        <w:rPr>
          <w:rFonts w:ascii="Cambria" w:hAnsi="Cambria"/>
          <w:b w:val="0"/>
          <w:i w:val="0"/>
          <w:color w:val="3A3A3A"/>
          <w:sz w:val="22"/>
        </w:rPr>
        <w:t>an end-to-end ticket-resolution pipeline covering intake, classification, routing, RAG retrieval, draft generation, confidence gating, and human review, runnable locally via Docker Compose.</w:t>
      </w:r>
    </w:p>
    <w:p>
      <w:pPr>
        <w:pStyle w:val="ListBullet"/>
        <w:spacing w:after="80"/>
      </w:pPr>
      <w:r>
        <w:rPr>
          <w:rFonts w:ascii="Cambria" w:hAnsi="Cambria"/>
          <w:b/>
          <w:i w:val="0"/>
          <w:color w:val="3A3A3A"/>
          <w:sz w:val="22"/>
        </w:rPr>
        <w:t xml:space="preserve">Trained models  </w:t>
      </w:r>
      <w:r>
        <w:rPr>
          <w:rFonts w:ascii="Cambria" w:hAnsi="Cambria"/>
          <w:b w:val="0"/>
          <w:i w:val="0"/>
          <w:color w:val="3A3A3A"/>
          <w:sz w:val="22"/>
        </w:rPr>
        <w:t>a classification model (department/priority/sentiment) and a confidence model, both evaluated against held-out data.</w:t>
      </w:r>
    </w:p>
    <w:p>
      <w:pPr>
        <w:pStyle w:val="ListBullet"/>
        <w:spacing w:after="80"/>
      </w:pPr>
      <w:r>
        <w:rPr>
          <w:rFonts w:ascii="Cambria" w:hAnsi="Cambria"/>
          <w:b/>
          <w:i w:val="0"/>
          <w:color w:val="3A3A3A"/>
          <w:sz w:val="22"/>
        </w:rPr>
        <w:t xml:space="preserve">Evaluation results  </w:t>
      </w:r>
      <w:r>
        <w:rPr>
          <w:rFonts w:ascii="Cambria" w:hAnsi="Cambria"/>
          <w:b w:val="0"/>
          <w:i w:val="0"/>
          <w:color w:val="3A3A3A"/>
          <w:sz w:val="22"/>
        </w:rPr>
        <w:t>a measured comparison of the confidence-gated pipeline against an LLM-self-reported-confidence baseline, reported honestly including any limitations.</w:t>
      </w:r>
    </w:p>
    <w:p>
      <w:pPr>
        <w:pStyle w:val="ListBullet"/>
        <w:spacing w:after="80"/>
      </w:pPr>
      <w:r>
        <w:rPr>
          <w:rFonts w:ascii="Cambria" w:hAnsi="Cambria"/>
          <w:b/>
          <w:i w:val="0"/>
          <w:color w:val="3A3A3A"/>
          <w:sz w:val="22"/>
        </w:rPr>
        <w:t xml:space="preserve">Working demo  </w:t>
      </w:r>
      <w:r>
        <w:rPr>
          <w:rFonts w:ascii="Cambria" w:hAnsi="Cambria"/>
          <w:b w:val="0"/>
          <w:i w:val="0"/>
          <w:color w:val="3A3A3A"/>
          <w:sz w:val="22"/>
        </w:rPr>
        <w:t>an interactive walkthrough showing a submitted ticket, its AI draft, its confidence score and sources, and the reviewer decision.</w:t>
      </w:r>
    </w:p>
    <w:p>
      <w:pPr>
        <w:pStyle w:val="ListBullet"/>
        <w:spacing w:after="80"/>
      </w:pPr>
      <w:r>
        <w:rPr>
          <w:rFonts w:ascii="Cambria" w:hAnsi="Cambria"/>
          <w:b/>
          <w:i w:val="0"/>
          <w:color w:val="3A3A3A"/>
          <w:sz w:val="22"/>
        </w:rPr>
        <w:t xml:space="preserve">Final report and presentation  </w:t>
      </w:r>
      <w:r>
        <w:rPr>
          <w:rFonts w:ascii="Cambria" w:hAnsi="Cambria"/>
          <w:b w:val="0"/>
          <w:i w:val="0"/>
          <w:color w:val="3A3A3A"/>
          <w:sz w:val="22"/>
        </w:rPr>
        <w:t>covering architecture, dataset strategy, evaluation methodology, results, and an honest discussion of limitations.</w:t>
      </w:r>
    </w:p>
    <w:p>
      <w:pPr>
        <w:pStyle w:val="Heading1"/>
      </w:pPr>
      <w:r>
        <w:t>18. Glossary of Key Terms</w:t>
      </w:r>
    </w:p>
    <w:tbl>
      <w:tblPr>
        <w:tblW w:type="auto" w:w="0"/>
        <w:jc w:val="center"/>
        <w:tblBorders>
          <w:top w:val="single" w:sz="4" w:color="D9B7B7"/>
          <w:left w:val="single" w:sz="4" w:color="D9B7B7"/>
          <w:bottom w:val="single" w:sz="4" w:color="D9B7B7"/>
          <w:right w:val="single" w:sz="4" w:color="D9B7B7"/>
          <w:insideH w:val="single" w:sz="4" w:color="D9B7B7"/>
          <w:insideV w:val="single" w:sz="4" w:color="D9B7B7"/>
        </w:tblBorders>
        <w:tblLayout w:type="fixed"/>
        <w:tblLook w:firstColumn="1" w:firstRow="1" w:lastColumn="0" w:lastRow="0" w:noHBand="0" w:noVBand="1" w:val="04A0"/>
      </w:tblPr>
      <w:tblGrid>
        <w:gridCol w:w="5220"/>
        <w:gridCol w:w="5220"/>
      </w:tblGrid>
      <w:tr>
        <w:tc>
          <w:tcPr>
            <w:tcW w:type="dxa" w:w="3456"/>
            <w:shd w:val="clear" w:fill="C00000"/>
          </w:tcPr>
          <w:p>
            <w:r>
              <w:rPr>
                <w:rFonts w:ascii="Cambria" w:hAnsi="Cambria"/>
                <w:b/>
                <w:i w:val="0"/>
                <w:color w:val="FFFFFF"/>
                <w:sz w:val="21"/>
              </w:rPr>
              <w:t>Term</w:t>
            </w:r>
          </w:p>
        </w:tc>
        <w:tc>
          <w:tcPr>
            <w:tcW w:type="dxa" w:w="6984"/>
            <w:shd w:val="clear" w:fill="C00000"/>
          </w:tcPr>
          <w:p>
            <w:r>
              <w:rPr>
                <w:rFonts w:ascii="Cambria" w:hAnsi="Cambria"/>
                <w:b/>
                <w:i w:val="0"/>
                <w:color w:val="FFFFFF"/>
                <w:sz w:val="21"/>
              </w:rPr>
              <w:t>Meaning</w:t>
            </w:r>
          </w:p>
        </w:tc>
      </w:tr>
      <w:tr>
        <w:tc>
          <w:tcPr>
            <w:tcW w:type="dxa" w:w="3456"/>
          </w:tcPr>
          <w:p>
            <w:r>
              <w:rPr>
                <w:rFonts w:ascii="Cambria" w:hAnsi="Cambria"/>
                <w:b w:val="0"/>
                <w:i w:val="0"/>
                <w:color w:val="3A3A3A"/>
                <w:sz w:val="20"/>
              </w:rPr>
              <w:t>Retrieval-Augmented Generation (RAG)</w:t>
            </w:r>
          </w:p>
        </w:tc>
        <w:tc>
          <w:tcPr>
            <w:tcW w:type="dxa" w:w="6984"/>
          </w:tcPr>
          <w:p>
            <w:r>
              <w:rPr>
                <w:rFonts w:ascii="Cambria" w:hAnsi="Cambria"/>
                <w:b w:val="0"/>
                <w:i w:val="0"/>
                <w:color w:val="3A3A3A"/>
                <w:sz w:val="20"/>
              </w:rPr>
              <w:t>Answering a question by first retrieving relevant source passages, then generating a reply grounded in them</w:t>
            </w:r>
          </w:p>
        </w:tc>
      </w:tr>
      <w:tr>
        <w:tc>
          <w:tcPr>
            <w:tcW w:type="dxa" w:w="3456"/>
            <w:shd w:val="clear" w:fill="FBF3F3"/>
          </w:tcPr>
          <w:p>
            <w:r>
              <w:rPr>
                <w:rFonts w:ascii="Cambria" w:hAnsi="Cambria"/>
                <w:b w:val="0"/>
                <w:i w:val="0"/>
                <w:color w:val="3A3A3A"/>
                <w:sz w:val="20"/>
              </w:rPr>
              <w:t>Embedding</w:t>
            </w:r>
          </w:p>
        </w:tc>
        <w:tc>
          <w:tcPr>
            <w:tcW w:type="dxa" w:w="6984"/>
            <w:shd w:val="clear" w:fill="FBF3F3"/>
          </w:tcPr>
          <w:p>
            <w:r>
              <w:rPr>
                <w:rFonts w:ascii="Cambria" w:hAnsi="Cambria"/>
                <w:b w:val="0"/>
                <w:i w:val="0"/>
                <w:color w:val="3A3A3A"/>
                <w:sz w:val="20"/>
              </w:rPr>
              <w:t>A numeric vector representation of text capturing meaning, used to find similar passages by vector distance rather than exact keyword match</w:t>
            </w:r>
          </w:p>
        </w:tc>
      </w:tr>
      <w:tr>
        <w:tc>
          <w:tcPr>
            <w:tcW w:type="dxa" w:w="3456"/>
          </w:tcPr>
          <w:p>
            <w:r>
              <w:rPr>
                <w:rFonts w:ascii="Cambria" w:hAnsi="Cambria"/>
                <w:b w:val="0"/>
                <w:i w:val="0"/>
                <w:color w:val="3A3A3A"/>
                <w:sz w:val="20"/>
              </w:rPr>
              <w:t>pgvector</w:t>
            </w:r>
          </w:p>
        </w:tc>
        <w:tc>
          <w:tcPr>
            <w:tcW w:type="dxa" w:w="6984"/>
          </w:tcPr>
          <w:p>
            <w:r>
              <w:rPr>
                <w:rFonts w:ascii="Cambria" w:hAnsi="Cambria"/>
                <w:b w:val="0"/>
                <w:i w:val="0"/>
                <w:color w:val="3A3A3A"/>
                <w:sz w:val="20"/>
              </w:rPr>
              <w:t>A PostgreSQL extension that stores embeddings and performs vector similarity search directly in the database</w:t>
            </w:r>
          </w:p>
        </w:tc>
      </w:tr>
      <w:tr>
        <w:tc>
          <w:tcPr>
            <w:tcW w:type="dxa" w:w="3456"/>
            <w:shd w:val="clear" w:fill="FBF3F3"/>
          </w:tcPr>
          <w:p>
            <w:r>
              <w:rPr>
                <w:rFonts w:ascii="Cambria" w:hAnsi="Cambria"/>
                <w:b w:val="0"/>
                <w:i w:val="0"/>
                <w:color w:val="3A3A3A"/>
                <w:sz w:val="20"/>
              </w:rPr>
              <w:t>Confidence-gated escalation</w:t>
            </w:r>
          </w:p>
        </w:tc>
        <w:tc>
          <w:tcPr>
            <w:tcW w:type="dxa" w:w="6984"/>
            <w:shd w:val="clear" w:fill="FBF3F3"/>
          </w:tcPr>
          <w:p>
            <w:r>
              <w:rPr>
                <w:rFonts w:ascii="Cambria" w:hAnsi="Cambria"/>
                <w:b w:val="0"/>
                <w:i w:val="0"/>
                <w:color w:val="3A3A3A"/>
                <w:sz w:val="20"/>
              </w:rPr>
              <w:t>Using a trained model's confidence estimate to decide whether an AI draft goes to human review or is escalated without one</w:t>
            </w:r>
          </w:p>
        </w:tc>
      </w:tr>
      <w:tr>
        <w:tc>
          <w:tcPr>
            <w:tcW w:type="dxa" w:w="3456"/>
          </w:tcPr>
          <w:p>
            <w:r>
              <w:rPr>
                <w:rFonts w:ascii="Cambria" w:hAnsi="Cambria"/>
                <w:b w:val="0"/>
                <w:i w:val="0"/>
                <w:color w:val="3A3A3A"/>
                <w:sz w:val="20"/>
              </w:rPr>
              <w:t>Human-in-the-loop</w:t>
            </w:r>
          </w:p>
        </w:tc>
        <w:tc>
          <w:tcPr>
            <w:tcW w:type="dxa" w:w="6984"/>
          </w:tcPr>
          <w:p>
            <w:r>
              <w:rPr>
                <w:rFonts w:ascii="Cambria" w:hAnsi="Cambria"/>
                <w:b w:val="0"/>
                <w:i w:val="0"/>
                <w:color w:val="3A3A3A"/>
                <w:sz w:val="20"/>
              </w:rPr>
              <w:t>A workflow in which a human always reviews or makes the final decision on an AI-assisted output, rather than the system acting fully autonomously</w:t>
            </w:r>
          </w:p>
        </w:tc>
      </w:tr>
      <w:tr>
        <w:tc>
          <w:tcPr>
            <w:tcW w:type="dxa" w:w="3456"/>
            <w:shd w:val="clear" w:fill="FBF3F3"/>
          </w:tcPr>
          <w:p>
            <w:r>
              <w:rPr>
                <w:rFonts w:ascii="Cambria" w:hAnsi="Cambria"/>
                <w:b w:val="0"/>
                <w:i w:val="0"/>
                <w:color w:val="3A3A3A"/>
                <w:sz w:val="20"/>
              </w:rPr>
              <w:t>Groundedness</w:t>
            </w:r>
          </w:p>
        </w:tc>
        <w:tc>
          <w:tcPr>
            <w:tcW w:type="dxa" w:w="6984"/>
            <w:shd w:val="clear" w:fill="FBF3F3"/>
          </w:tcPr>
          <w:p>
            <w:r>
              <w:rPr>
                <w:rFonts w:ascii="Cambria" w:hAnsi="Cambria"/>
                <w:b w:val="0"/>
                <w:i w:val="0"/>
                <w:color w:val="3A3A3A"/>
                <w:sz w:val="20"/>
              </w:rPr>
              <w:t>The degree to which every claim in a generated answer is traceable to a specific retrieved source passage</w:t>
            </w:r>
          </w:p>
        </w:tc>
      </w:tr>
      <w:tr>
        <w:tc>
          <w:tcPr>
            <w:tcW w:type="dxa" w:w="3456"/>
          </w:tcPr>
          <w:p>
            <w:r>
              <w:rPr>
                <w:rFonts w:ascii="Cambria" w:hAnsi="Cambria"/>
                <w:b w:val="0"/>
                <w:i w:val="0"/>
                <w:color w:val="3A3A3A"/>
                <w:sz w:val="20"/>
              </w:rPr>
              <w:t>Calibration</w:t>
            </w:r>
          </w:p>
        </w:tc>
        <w:tc>
          <w:tcPr>
            <w:tcW w:type="dxa" w:w="6984"/>
          </w:tcPr>
          <w:p>
            <w:r>
              <w:rPr>
                <w:rFonts w:ascii="Cambria" w:hAnsi="Cambria"/>
                <w:b w:val="0"/>
                <w:i w:val="0"/>
                <w:color w:val="3A3A3A"/>
                <w:sz w:val="20"/>
              </w:rPr>
              <w:t>How well a model's confidence estimate matches its actual real-world accuracy</w:t>
            </w:r>
          </w:p>
        </w:tc>
      </w:tr>
      <w:tr>
        <w:tc>
          <w:tcPr>
            <w:tcW w:type="dxa" w:w="3456"/>
            <w:shd w:val="clear" w:fill="FBF3F3"/>
          </w:tcPr>
          <w:p>
            <w:r>
              <w:rPr>
                <w:rFonts w:ascii="Cambria" w:hAnsi="Cambria"/>
                <w:b w:val="0"/>
                <w:i w:val="0"/>
                <w:color w:val="3A3A3A"/>
                <w:sz w:val="20"/>
              </w:rPr>
              <w:t>LangGraph</w:t>
            </w:r>
          </w:p>
        </w:tc>
        <w:tc>
          <w:tcPr>
            <w:tcW w:type="dxa" w:w="6984"/>
            <w:shd w:val="clear" w:fill="FBF3F3"/>
          </w:tcPr>
          <w:p>
            <w:r>
              <w:rPr>
                <w:rFonts w:ascii="Cambria" w:hAnsi="Cambria"/>
                <w:b w:val="0"/>
                <w:i w:val="0"/>
                <w:color w:val="3A3A3A"/>
                <w:sz w:val="20"/>
              </w:rPr>
              <w:t>A library for defining a multi-step AI pipeline as an explicit graph of stages with conditional branches</w:t>
            </w:r>
          </w:p>
        </w:tc>
      </w:tr>
      <w:tr>
        <w:tc>
          <w:tcPr>
            <w:tcW w:type="dxa" w:w="3456"/>
          </w:tcPr>
          <w:p>
            <w:r>
              <w:rPr>
                <w:rFonts w:ascii="Cambria" w:hAnsi="Cambria"/>
                <w:b w:val="0"/>
                <w:i w:val="0"/>
                <w:color w:val="3A3A3A"/>
                <w:sz w:val="20"/>
              </w:rPr>
              <w:t>OCR (Optical Character Recognition)</w:t>
            </w:r>
          </w:p>
        </w:tc>
        <w:tc>
          <w:tcPr>
            <w:tcW w:type="dxa" w:w="6984"/>
          </w:tcPr>
          <w:p>
            <w:r>
              <w:rPr>
                <w:rFonts w:ascii="Cambria" w:hAnsi="Cambria"/>
                <w:b w:val="0"/>
                <w:i w:val="0"/>
                <w:color w:val="3A3A3A"/>
                <w:sz w:val="20"/>
              </w:rPr>
              <w:t>Automated extraction of text from an image, used here to read text from screenshot attachments</w:t>
            </w:r>
          </w:p>
        </w:tc>
      </w:tr>
      <w:tr>
        <w:tc>
          <w:tcPr>
            <w:tcW w:type="dxa" w:w="3456"/>
            <w:shd w:val="clear" w:fill="FBF3F3"/>
          </w:tcPr>
          <w:p>
            <w:r>
              <w:rPr>
                <w:rFonts w:ascii="Cambria" w:hAnsi="Cambria"/>
                <w:b w:val="0"/>
                <w:i w:val="0"/>
                <w:color w:val="3A3A3A"/>
                <w:sz w:val="20"/>
              </w:rPr>
              <w:t>Precision / Recall / F1</w:t>
            </w:r>
          </w:p>
        </w:tc>
        <w:tc>
          <w:tcPr>
            <w:tcW w:type="dxa" w:w="6984"/>
            <w:shd w:val="clear" w:fill="FBF3F3"/>
          </w:tcPr>
          <w:p>
            <w:r>
              <w:rPr>
                <w:rFonts w:ascii="Cambria" w:hAnsi="Cambria"/>
                <w:b w:val="0"/>
                <w:i w:val="0"/>
                <w:color w:val="3A3A3A"/>
                <w:sz w:val="20"/>
              </w:rPr>
              <w:t>Standard classification metrics: precision is how many flagged items were actually correct; recall is how many actual correct items were flagged; F1 is their balance</w:t>
            </w:r>
          </w:p>
        </w:tc>
      </w:tr>
    </w:tbl>
    <w:p>
      <w:pPr>
        <w:spacing w:after="40"/>
      </w:pPr>
    </w:p>
    <w:p>
      <w:pPr>
        <w:pStyle w:val="Heading1"/>
      </w:pPr>
      <w:r>
        <w:t>References</w:t>
      </w:r>
    </w:p>
    <w:p>
      <w:pPr>
        <w:spacing w:after="160"/>
      </w:pPr>
      <w:r>
        <w:rPr>
          <w:rFonts w:ascii="Cambria" w:hAnsi="Cambria"/>
          <w:b w:val="0"/>
          <w:i w:val="0"/>
          <w:color w:val="3A3A3A"/>
          <w:sz w:val="21"/>
        </w:rPr>
        <w:t>[1] P. Lewis et al., “Retrieval-Augmented Generation for Knowledge-Intensive NLP Tasks,” NeurIPS, 2020.</w:t>
      </w:r>
    </w:p>
    <w:p>
      <w:pPr>
        <w:spacing w:after="160"/>
      </w:pPr>
      <w:r>
        <w:rPr>
          <w:rFonts w:ascii="Cambria" w:hAnsi="Cambria"/>
          <w:b w:val="0"/>
          <w:i w:val="0"/>
          <w:color w:val="3A3A3A"/>
          <w:sz w:val="21"/>
        </w:rPr>
        <w:t>[2] N. Reimers and I. Gurevych, “Sentence-BERT: Sentence Embeddings using Siamese BERT-Networks,” EMNLP, 2019.</w:t>
      </w:r>
    </w:p>
    <w:p>
      <w:pPr>
        <w:spacing w:after="160"/>
      </w:pPr>
      <w:r>
        <w:rPr>
          <w:rFonts w:ascii="Cambria" w:hAnsi="Cambria"/>
          <w:b w:val="0"/>
          <w:i w:val="0"/>
          <w:color w:val="3A3A3A"/>
          <w:sz w:val="21"/>
        </w:rPr>
        <w:t>[3] C. Guo et al., “On Calibration of Modern Neural Networks,” ICML, 2017.</w:t>
      </w:r>
    </w:p>
    <w:p>
      <w:pPr>
        <w:spacing w:after="160"/>
      </w:pPr>
      <w:r>
        <w:rPr>
          <w:rFonts w:ascii="Cambria" w:hAnsi="Cambria"/>
          <w:b w:val="0"/>
          <w:i w:val="0"/>
          <w:color w:val="3A3A3A"/>
          <w:sz w:val="21"/>
        </w:rPr>
        <w:t>[4] H. Mozannar and D. Sontag, “Consistent Estimators for Learning to Defer to an Expert,” ICML, 2020.</w:t>
      </w:r>
    </w:p>
    <w:p>
      <w:pPr>
        <w:spacing w:after="160"/>
      </w:pPr>
      <w:r>
        <w:rPr>
          <w:rFonts w:ascii="Cambria" w:hAnsi="Cambria"/>
          <w:b w:val="0"/>
          <w:i w:val="0"/>
          <w:color w:val="3A3A3A"/>
          <w:sz w:val="21"/>
        </w:rPr>
        <w:t>[5] D. Toro Isaza et al., “Automated Single-Turn Solution Recommendation System for Software IT Support Tickets,” IBM Research / Big Data, 2025.</w:t>
      </w:r>
    </w:p>
    <w:p>
      <w:pPr>
        <w:spacing w:after="160"/>
      </w:pPr>
      <w:r>
        <w:rPr>
          <w:rFonts w:ascii="Cambria" w:hAnsi="Cambria"/>
          <w:b w:val="0"/>
          <w:i w:val="0"/>
          <w:color w:val="3A3A3A"/>
          <w:sz w:val="21"/>
        </w:rPr>
        <w:t>[6] ServiceNow, “Predictive Intelligence for IT Service Management,” product documentation.</w:t>
      </w:r>
    </w:p>
    <w:p>
      <w:pPr>
        <w:spacing w:after="160"/>
      </w:pPr>
      <w:r>
        <w:rPr>
          <w:rFonts w:ascii="Cambria" w:hAnsi="Cambria"/>
          <w:b w:val="0"/>
          <w:i w:val="0"/>
          <w:color w:val="3A3A3A"/>
          <w:sz w:val="21"/>
        </w:rPr>
        <w:t>[7] Zendesk, “Zendesk AI for Customer Support,” product documentation.</w:t>
      </w:r>
    </w:p>
    <w:sectPr w:rsidR="00FC693F" w:rsidRPr="0006063C" w:rsidSect="00034616">
      <w:pgSz w:w="12240" w:h="15840"/>
      <w:pgMar w:top="900" w:right="900" w:bottom="90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color w:val="3A3A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i w:val="0"/>
      <w:color w:val="C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i w:val="0"/>
      <w:color w:val="C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i w:val="0"/>
      <w:color w:val="C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