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Compensation and Salary Structure Guidelines</w:t>
      </w:r>
    </w:p>
    <w:p>
      <w:r>
        <w:t>Section 1: Compensation Philosophy. The company aims to provide competitive market-based compensation tied to performance and annual benchmark surveys.</w:t>
      </w:r>
    </w:p>
    <w:p>
      <w:r>
        <w:t>Section 2: Performance Reviews. Annual salary adjustments occur in Q1 following performance evaluations. Base salaries are benchmarked against 75th percentile industry averages.</w:t>
      </w:r>
    </w:p>
    <w:p>
      <w:r>
        <w:t>Section 3: Bonus Eligibility. Discretionary performance bonuses are distributed semi-annually based on company earnings and individual KPI achievement.</w:t>
      </w:r>
    </w:p>
    <w:p>
      <w:r>
        <w:t>Section 4: Confidentiality. Salary details are confidential between the employee, HR, and direct executive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