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AI Dashboard Assistant</w:t>
      </w:r>
    </w:p>
    <w:p>
      <w:pPr>
        <w:spacing w:after="160"/>
      </w:pPr>
      <w:r>
        <w:rPr>
          <w:i/>
          <w:iCs/>
          <w:color w:val="555555"/>
          <w:sz w:val="26"/>
          <w:szCs w:val="26"/>
        </w:rPr>
        <w:t xml:space="preserve">Architecture &amp; Design Document</w:t>
      </w:r>
    </w:p>
    <w:p>
      <w:pPr>
        <w:spacing w:after="160"/>
      </w:pPr>
      <w:r>
        <w:rPr>
          <w:color w:val="777777"/>
          <w:sz w:val="20"/>
          <w:szCs w:val="20"/>
        </w:rPr>
        <w:t xml:space="preserve">Prepared for: Ace Hunter  |  Date: July 29, 2026</w:t>
      </w:r>
    </w:p>
    <w:p>
      <w:pPr>
        <w:pBdr>
          <w:bottom w:val="single" w:color="AAAAAA" w:sz="6" w:space="1"/>
        </w:pBdr>
        <w:spacing w:after="200"/>
      </w:pPr>
    </w:p>
    <w:p>
      <w:pPr>
        <w:pStyle w:val="Heading1"/>
        <w:spacing w:after="160" w:before="360"/>
      </w:pPr>
      <w:r>
        <w:t xml:space="preserve">1. Executive Summary</w:t>
      </w:r>
    </w:p>
    <w:p>
      <w:pPr>
        <w:spacing w:after="160"/>
      </w:pPr>
      <w:r>
        <w:t xml:space="preserve">This document lays out the architecture for a natural-language dashboarding assistant. A user types a plain-English request for the data they need — for example spend and revenue by platform over the last two weeks — and the system interprets that request, generates a governed SQL query against the existing analytics database, and renders the result as an interactive dashboard. Every dashboard is backed by the exact rows used to build it, and those rows can be downloaded as Excel or CSV at any time so the numbers can be checked against source data without leaving the platform.</w:t>
      </w:r>
    </w:p>
    <w:p>
      <w:pPr>
        <w:spacing w:after="160"/>
      </w:pPr>
      <w:r>
        <w:t xml:space="preserve">The design assumes what was confirmed for this project: a central database already exists containing performance data pulled in from Facebook, Google Ads, Reddit, Quora, and PulsePoint, along with dependent data from Salesforce (CPV, used to derive revenue) and Adobe Analytics (site visits). Campaigns are broken into adsets, and every adset carries a unique ECD code, which is the key used to join ad-platform performance data with the Salesforce and Adobe data. This document treats that ECD code as the backbone of the entire data model.</w:t>
      </w:r>
    </w:p>
    <w:p>
      <w:pPr>
        <w:spacing w:after="160"/>
      </w:pPr>
      <w:r>
        <w:t xml:space="preserve">A companion implementation accompanies this document and is no longer just a local scaffold: it is deployed and running at a public URL today, backed by a FastAPI backend and a React/TypeScript frontend, wired against a small seeded sample database so the full loop — chat prompt, generated SQL, rendered dashboard, CSV/Excel export — can be tried by anyone with the link. Section 10 covers the current live deployment and Section 12 covers what changes before this can move from pilot to production. Section 4 describes how to swap the sample database for the real warehouse.</w:t>
      </w:r>
    </w:p>
    <w:p>
      <w:pPr>
        <w:pStyle w:val="Heading1"/>
        <w:spacing w:after="160" w:before="360"/>
      </w:pPr>
      <w:r>
        <w:t xml:space="preserve">2. Goals and Non-Goals</w:t>
      </w:r>
    </w:p>
    <w:p>
      <w:pPr>
        <w:spacing w:after="160"/>
      </w:pPr>
      <w:r>
        <w:t xml:space="preserve">The primary goal is to let a non-technical end user get a trustworthy, verifiable dashboard from a single typed request, without needing to know SQL or which of the five ad platforms a given metric lives in. A secondary goal is auditability: because the underlying data feeds revenue and spend numbers that may inform business decisions, every number on screen must be traceable back to a specific, inspectable SQL query and a downloadable row-level export.</w:t>
      </w:r>
    </w:p>
    <w:p>
      <w:pPr>
        <w:spacing w:after="160"/>
      </w:pPr>
      <w:r>
        <w:t xml:space="preserve">This document does not design the ETL pipelines that populate the central database from Facebook, Google Ads, Reddit, Quora, PulsePoint, Salesforce, or Adobe — the current state confirmed for this project is that those pipelines already exist and land data into one database. What follows instead is the layer that sits on top: the semantic model, the natural-language interface, the query safety layer, and the dashboard/export experience.</w:t>
      </w:r>
    </w:p>
    <w:p>
      <w:pPr>
        <w:pStyle w:val="Heading1"/>
        <w:spacing w:after="160" w:before="360"/>
      </w:pPr>
      <w:r>
        <w:t xml:space="preserve">3. System Architecture</w:t>
      </w:r>
    </w:p>
    <w:p>
      <w:pPr>
        <w:spacing w:after="160"/>
      </w:pPr>
      <w:r>
        <w:t xml:space="preserve">The system is organized into five layers, each with a narrow responsibility. This separation is what keeps the natural-language layer safe to point at a production database: the LLM never writes raw SQL against your tables directly. Instead, it selects from a fixed, governed vocabulary of metrics and dimensions (the semantic layer), and a deterministic piece of code turns that selection into SQL.</w:t>
      </w:r>
    </w:p>
    <w:p>
      <w:pPr>
        <w:pStyle w:val="Heading2"/>
        <w:spacing w:after="120" w:before="280"/>
      </w:pPr>
      <w:r>
        <w:t xml:space="preserve">3.1 Frontend — Chat &amp; Dashboard UI</w:t>
      </w:r>
    </w:p>
    <w:p>
      <w:pPr>
        <w:spacing w:after="160"/>
      </w:pPr>
      <w:r>
        <w:t xml:space="preserve">A single-page web application (React/TypeScript) presents a chat box. Each user prompt becomes a turn in the conversation, and each turn that successfully resolves to data renders a dashboard card below it: a chart, a data table, the exact SQL that was run (shown for transparency, not for end users to edit), and two buttons to download the underlying rows as CSV or Excel. Because dashboards are conversation turns rather than a single fixed layout, a user can ask a follow-up question and get a new dashboard without losing the previous one, effectively building up a working session they can scroll back through.</w:t>
      </w:r>
    </w:p>
    <w:p>
      <w:pPr>
        <w:pStyle w:val="Heading2"/>
        <w:spacing w:after="120" w:before="280"/>
      </w:pPr>
      <w:r>
        <w:t xml:space="preserve">3.2 Backend API</w:t>
      </w:r>
    </w:p>
    <w:p>
      <w:pPr>
        <w:spacing w:after="160"/>
      </w:pPr>
      <w:r>
        <w:t xml:space="preserve">A FastAPI service exposes a small number of endpoints: one to submit a prompt and receive rendered rows, and two export endpoints (CSV and Excel) that re-serve the exact result set a given dashboard card was built from. The backend is stateless aside from a short-lived result cache keyed by a query ID, which exists purely so the export buttons don't have to re-run the query and risk returning slightly different numbers if the underlying data changed in the meantime.</w:t>
      </w:r>
    </w:p>
    <w:p>
      <w:pPr>
        <w:pStyle w:val="Heading2"/>
        <w:spacing w:after="120" w:before="280"/>
      </w:pPr>
      <w:r>
        <w:t xml:space="preserve">3.3 Semantic Layer</w:t>
      </w:r>
    </w:p>
    <w:p>
      <w:pPr>
        <w:spacing w:after="160"/>
      </w:pPr>
      <w:r>
        <w:t xml:space="preserve">Rather than letting the language model see raw table and column names and write SQL freely, the backend exposes one wide, pre-joined view — unified_metrics — and a fixed registry of named metrics (spend, clicks, impressions, conversions, CTR, CPA, revenue, visits, ROAS, and so on) and named dimensions (date, campaign, adset, platform, ECD code). The model's job is to select from this governed list, not to invent joins or reinterpret what "revenue" means on a given call. This is the single most important safeguard against the classic failure mode of natural-language analytics tools, where the same question returns a different number depending on how the model happened to phrase the query that day.</w:t>
      </w:r>
    </w:p>
    <w:p>
      <w:pPr>
        <w:pStyle w:val="Heading2"/>
        <w:spacing w:after="120" w:before="280"/>
      </w:pPr>
      <w:r>
        <w:t xml:space="preserve">3.4 Natural-Language-to-SQL Pipeline</w:t>
      </w:r>
    </w:p>
    <w:p>
      <w:pPr>
        <w:spacing w:after="160"/>
      </w:pPr>
      <w:r>
        <w:t xml:space="preserve">Interpreting the user's prompt happens in two stages. First, a large language model reads the prompt together with the semantic layer's schema description and returns a small structured object — not SQL — specifying which metrics, which grouping dimensions, which platforms or campaigns to filter to, and what date range to use. Second, a deterministic Python function turns that structured object into parameterized SQL, using only the whitelisted expressions defined in the semantic layer. Because step two never touches the user's raw text, there is no path by which a cleverly worded prompt can inject arbitrary SQL.</w:t>
      </w:r>
    </w:p>
    <w:p>
      <w:pPr>
        <w:spacing w:after="160"/>
      </w:pPr>
      <w:r>
        <w:t xml:space="preserve">Before execution, every generated statement passes through a safety guard that parses it, confirms it is a single SELECT statement reading only from the approved semantic-layer view, rejects any statement containing DDL or write keywords, and confirms a row limit is present. In production this is paired with a database-level read-only role — a Postgres user granted SELECT only on the semantic views, not the underlying tables — so that even a bug in the guard cannot result in a write or a schema change reaching the warehouse.</w:t>
      </w:r>
    </w:p>
    <w:p>
      <w:pPr>
        <w:pStyle w:val="Heading2"/>
        <w:spacing w:after="120" w:before="280"/>
      </w:pPr>
      <w:r>
        <w:t xml:space="preserve">3.5 Data Layer</w:t>
      </w:r>
    </w:p>
    <w:p>
      <w:pPr>
        <w:spacing w:after="160"/>
      </w:pPr>
      <w:r>
        <w:t xml:space="preserve">The data layer is the existing central database. This design adds one artifact to it: the unified_metrics view described in Section 4, which performs the join between ad-platform performance data and the Salesforce/Adobe data on ECD code and date. Everything above this layer reads from that view only.</w:t>
      </w:r>
    </w:p>
    <w:p>
      <w:pPr>
        <w:pStyle w:val="Heading1"/>
        <w:spacing w:after="160" w:before="360"/>
      </w:pPr>
      <w:r>
        <w:t xml:space="preserve">4. Data Model and the ECD Code as Join Key</w:t>
      </w:r>
    </w:p>
    <w:p>
      <w:pPr>
        <w:spacing w:after="160"/>
      </w:pPr>
      <w:r>
        <w:t xml:space="preserve">Campaigns run on one of five platforms — Facebook, Google Ads, Reddit, Quora, or PulsePoint — and each campaign is broken into one or more adsets. Every adset carries a unique ECD code. That code is what Salesforce uses to attach a CPV (cost-per-visit/value) figure to the adset, and what Adobe Analytics uses to attach a visit count. Because ad-platform performance data, Salesforce CPV, and Adobe visits are three separately-sourced datasets, ECD code plus date is the only reliable way to bring them together into one row. The table below shows the core entities this document assumes exist (or should exist) in the warehouse.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4340"/>
      </w:tblGrid>
      <w:tr>
        <w:trPr>
          <w:tblHeader/>
        </w:trPr>
        <w:tc>
          <w:tcPr>
            <w:tcW w:type="dxa" w:w="1700"/>
            <w:shd w:fill="DDDDF0" w:val="clear"/>
            <w:tcMar>
              <w:top w:type="dxa" w:w="80"/>
              <w:left w:type="dxa" w:w="100"/>
              <w:bottom w:type="dxa" w:w="80"/>
              <w:right w:type="dxa" w:w="100"/>
            </w:tcMar>
          </w:tcPr>
          <w:p>
            <w:r>
              <w:rPr>
                <w:b/>
                <w:bCs/>
              </w:rPr>
              <w:t xml:space="preserve">Table / View</w:t>
            </w:r>
          </w:p>
        </w:tc>
        <w:tc>
          <w:tcPr>
            <w:tcW w:type="dxa" w:w="3600"/>
            <w:shd w:fill="DDDDF0" w:val="clear"/>
            <w:tcMar>
              <w:top w:type="dxa" w:w="80"/>
              <w:left w:type="dxa" w:w="100"/>
              <w:bottom w:type="dxa" w:w="80"/>
              <w:right w:type="dxa" w:w="100"/>
            </w:tcMar>
          </w:tcPr>
          <w:p>
            <w:r>
              <w:rPr>
                <w:b/>
                <w:bCs/>
              </w:rPr>
              <w:t xml:space="preserve">Grain</w:t>
            </w:r>
          </w:p>
        </w:tc>
        <w:tc>
          <w:tcPr>
            <w:tcW w:type="dxa" w:w="4340"/>
            <w:shd w:fill="DDDDF0" w:val="clear"/>
            <w:tcMar>
              <w:top w:type="dxa" w:w="80"/>
              <w:left w:type="dxa" w:w="100"/>
              <w:bottom w:type="dxa" w:w="80"/>
              <w:right w:type="dxa" w:w="100"/>
            </w:tcMar>
          </w:tcPr>
          <w:p>
            <w:r>
              <w:rPr>
                <w:b/>
                <w:bCs/>
              </w:rPr>
              <w:t xml:space="preserve">Purpose</w:t>
            </w:r>
          </w:p>
        </w:tc>
      </w:tr>
      <w:tr>
        <w:tc>
          <w:tcPr>
            <w:tcW w:type="dxa" w:w="1700"/>
            <w:tcMar>
              <w:top w:type="dxa" w:w="80"/>
              <w:left w:type="dxa" w:w="100"/>
              <w:bottom w:type="dxa" w:w="80"/>
              <w:right w:type="dxa" w:w="100"/>
            </w:tcMar>
          </w:tcPr>
          <w:p>
            <w:r>
              <w:rPr>
                <w:b w:val="false"/>
                <w:bCs w:val="false"/>
              </w:rPr>
              <w:t xml:space="preserve">campaigns</w:t>
            </w:r>
          </w:p>
        </w:tc>
        <w:tc>
          <w:tcPr>
            <w:tcW w:type="dxa" w:w="3600"/>
            <w:tcMar>
              <w:top w:type="dxa" w:w="80"/>
              <w:left w:type="dxa" w:w="100"/>
              <w:bottom w:type="dxa" w:w="80"/>
              <w:right w:type="dxa" w:w="100"/>
            </w:tcMar>
          </w:tcPr>
          <w:p>
            <w:r>
              <w:rPr>
                <w:b w:val="false"/>
                <w:bCs w:val="false"/>
              </w:rPr>
              <w:t xml:space="preserve">one row per campaign</w:t>
            </w:r>
          </w:p>
        </w:tc>
        <w:tc>
          <w:tcPr>
            <w:tcW w:type="dxa" w:w="4340"/>
            <w:tcMar>
              <w:top w:type="dxa" w:w="80"/>
              <w:left w:type="dxa" w:w="100"/>
              <w:bottom w:type="dxa" w:w="80"/>
              <w:right w:type="dxa" w:w="100"/>
            </w:tcMar>
          </w:tcPr>
          <w:p>
            <w:r>
              <w:rPr>
                <w:b w:val="false"/>
                <w:bCs w:val="false"/>
              </w:rPr>
              <w:t xml:space="preserve">Campaign name, platform, start/end date.</w:t>
            </w:r>
          </w:p>
        </w:tc>
      </w:tr>
      <w:tr>
        <w:tc>
          <w:tcPr>
            <w:tcW w:type="dxa" w:w="1700"/>
            <w:tcMar>
              <w:top w:type="dxa" w:w="80"/>
              <w:left w:type="dxa" w:w="100"/>
              <w:bottom w:type="dxa" w:w="80"/>
              <w:right w:type="dxa" w:w="100"/>
            </w:tcMar>
          </w:tcPr>
          <w:p>
            <w:r>
              <w:rPr>
                <w:b w:val="false"/>
                <w:bCs w:val="false"/>
              </w:rPr>
              <w:t xml:space="preserve">adsets</w:t>
            </w:r>
          </w:p>
        </w:tc>
        <w:tc>
          <w:tcPr>
            <w:tcW w:type="dxa" w:w="3600"/>
            <w:tcMar>
              <w:top w:type="dxa" w:w="80"/>
              <w:left w:type="dxa" w:w="100"/>
              <w:bottom w:type="dxa" w:w="80"/>
              <w:right w:type="dxa" w:w="100"/>
            </w:tcMar>
          </w:tcPr>
          <w:p>
            <w:r>
              <w:rPr>
                <w:b w:val="false"/>
                <w:bCs w:val="false"/>
              </w:rPr>
              <w:t xml:space="preserve">one row per adset</w:t>
            </w:r>
          </w:p>
        </w:tc>
        <w:tc>
          <w:tcPr>
            <w:tcW w:type="dxa" w:w="4340"/>
            <w:tcMar>
              <w:top w:type="dxa" w:w="80"/>
              <w:left w:type="dxa" w:w="100"/>
              <w:bottom w:type="dxa" w:w="80"/>
              <w:right w:type="dxa" w:w="100"/>
            </w:tcMar>
          </w:tcPr>
          <w:p>
            <w:r>
              <w:rPr>
                <w:b w:val="false"/>
                <w:bCs w:val="false"/>
              </w:rPr>
              <w:t xml:space="preserve">Child of a campaign; holds the unique ecd_code used for downstream joins.</w:t>
            </w:r>
          </w:p>
        </w:tc>
      </w:tr>
      <w:tr>
        <w:tc>
          <w:tcPr>
            <w:tcW w:type="dxa" w:w="1700"/>
            <w:tcMar>
              <w:top w:type="dxa" w:w="80"/>
              <w:left w:type="dxa" w:w="100"/>
              <w:bottom w:type="dxa" w:w="80"/>
              <w:right w:type="dxa" w:w="100"/>
            </w:tcMar>
          </w:tcPr>
          <w:p>
            <w:r>
              <w:rPr>
                <w:b w:val="false"/>
                <w:bCs w:val="false"/>
              </w:rPr>
              <w:t xml:space="preserve">platform_metrics</w:t>
            </w:r>
          </w:p>
        </w:tc>
        <w:tc>
          <w:tcPr>
            <w:tcW w:type="dxa" w:w="3600"/>
            <w:tcMar>
              <w:top w:type="dxa" w:w="80"/>
              <w:left w:type="dxa" w:w="100"/>
              <w:bottom w:type="dxa" w:w="80"/>
              <w:right w:type="dxa" w:w="100"/>
            </w:tcMar>
          </w:tcPr>
          <w:p>
            <w:r>
              <w:rPr>
                <w:b w:val="false"/>
                <w:bCs w:val="false"/>
              </w:rPr>
              <w:t xml:space="preserve">one row per adset per day</w:t>
            </w:r>
          </w:p>
        </w:tc>
        <w:tc>
          <w:tcPr>
            <w:tcW w:type="dxa" w:w="4340"/>
            <w:tcMar>
              <w:top w:type="dxa" w:w="80"/>
              <w:left w:type="dxa" w:w="100"/>
              <w:bottom w:type="dxa" w:w="80"/>
              <w:right w:type="dxa" w:w="100"/>
            </w:tcMar>
          </w:tcPr>
          <w:p>
            <w:r>
              <w:rPr>
                <w:b w:val="false"/>
                <w:bCs w:val="false"/>
              </w:rPr>
              <w:t xml:space="preserve">Impressions, clicks, spend, conversions pulled from Facebook, Google Ads, Reddit, Quora, or PulsePoint.</w:t>
            </w:r>
          </w:p>
        </w:tc>
      </w:tr>
      <w:tr>
        <w:tc>
          <w:tcPr>
            <w:tcW w:type="dxa" w:w="1700"/>
            <w:tcMar>
              <w:top w:type="dxa" w:w="80"/>
              <w:left w:type="dxa" w:w="100"/>
              <w:bottom w:type="dxa" w:w="80"/>
              <w:right w:type="dxa" w:w="100"/>
            </w:tcMar>
          </w:tcPr>
          <w:p>
            <w:r>
              <w:rPr>
                <w:b w:val="false"/>
                <w:bCs w:val="false"/>
              </w:rPr>
              <w:t xml:space="preserve">salesforce_cpv</w:t>
            </w:r>
          </w:p>
        </w:tc>
        <w:tc>
          <w:tcPr>
            <w:tcW w:type="dxa" w:w="3600"/>
            <w:tcMar>
              <w:top w:type="dxa" w:w="80"/>
              <w:left w:type="dxa" w:w="100"/>
              <w:bottom w:type="dxa" w:w="80"/>
              <w:right w:type="dxa" w:w="100"/>
            </w:tcMar>
          </w:tcPr>
          <w:p>
            <w:r>
              <w:rPr>
                <w:b w:val="false"/>
                <w:bCs w:val="false"/>
              </w:rPr>
              <w:t xml:space="preserve">one row per ecd_code per day</w:t>
            </w:r>
          </w:p>
        </w:tc>
        <w:tc>
          <w:tcPr>
            <w:tcW w:type="dxa" w:w="4340"/>
            <w:tcMar>
              <w:top w:type="dxa" w:w="80"/>
              <w:left w:type="dxa" w:w="100"/>
              <w:bottom w:type="dxa" w:w="80"/>
              <w:right w:type="dxa" w:w="100"/>
            </w:tcMar>
          </w:tcPr>
          <w:p>
            <w:r>
              <w:rPr>
                <w:b w:val="false"/>
                <w:bCs w:val="false"/>
              </w:rPr>
              <w:t xml:space="preserve">CPV value from Salesforce, used to derive revenue (conversions × CPV, or your organization's exact formula).</w:t>
            </w:r>
          </w:p>
        </w:tc>
      </w:tr>
      <w:tr>
        <w:tc>
          <w:tcPr>
            <w:tcW w:type="dxa" w:w="1700"/>
            <w:tcMar>
              <w:top w:type="dxa" w:w="80"/>
              <w:left w:type="dxa" w:w="100"/>
              <w:bottom w:type="dxa" w:w="80"/>
              <w:right w:type="dxa" w:w="100"/>
            </w:tcMar>
          </w:tcPr>
          <w:p>
            <w:r>
              <w:rPr>
                <w:b w:val="false"/>
                <w:bCs w:val="false"/>
              </w:rPr>
              <w:t xml:space="preserve">adobe_visits</w:t>
            </w:r>
          </w:p>
        </w:tc>
        <w:tc>
          <w:tcPr>
            <w:tcW w:type="dxa" w:w="3600"/>
            <w:tcMar>
              <w:top w:type="dxa" w:w="80"/>
              <w:left w:type="dxa" w:w="100"/>
              <w:bottom w:type="dxa" w:w="80"/>
              <w:right w:type="dxa" w:w="100"/>
            </w:tcMar>
          </w:tcPr>
          <w:p>
            <w:r>
              <w:rPr>
                <w:b w:val="false"/>
                <w:bCs w:val="false"/>
              </w:rPr>
              <w:t xml:space="preserve">one row per ecd_code per day</w:t>
            </w:r>
          </w:p>
        </w:tc>
        <w:tc>
          <w:tcPr>
            <w:tcW w:type="dxa" w:w="4340"/>
            <w:tcMar>
              <w:top w:type="dxa" w:w="80"/>
              <w:left w:type="dxa" w:w="100"/>
              <w:bottom w:type="dxa" w:w="80"/>
              <w:right w:type="dxa" w:w="100"/>
            </w:tcMar>
          </w:tcPr>
          <w:p>
            <w:r>
              <w:rPr>
                <w:b w:val="false"/>
                <w:bCs w:val="false"/>
              </w:rPr>
              <w:t xml:space="preserve">Site visit count from Adobe Analytics.</w:t>
            </w:r>
          </w:p>
        </w:tc>
      </w:tr>
      <w:tr>
        <w:tc>
          <w:tcPr>
            <w:tcW w:type="dxa" w:w="1700"/>
            <w:tcMar>
              <w:top w:type="dxa" w:w="80"/>
              <w:left w:type="dxa" w:w="100"/>
              <w:bottom w:type="dxa" w:w="80"/>
              <w:right w:type="dxa" w:w="100"/>
            </w:tcMar>
          </w:tcPr>
          <w:p>
            <w:r>
              <w:rPr>
                <w:b w:val="false"/>
                <w:bCs w:val="false"/>
              </w:rPr>
              <w:t xml:space="preserve">unified_metrics (view)</w:t>
            </w:r>
          </w:p>
        </w:tc>
        <w:tc>
          <w:tcPr>
            <w:tcW w:type="dxa" w:w="3600"/>
            <w:tcMar>
              <w:top w:type="dxa" w:w="80"/>
              <w:left w:type="dxa" w:w="100"/>
              <w:bottom w:type="dxa" w:w="80"/>
              <w:right w:type="dxa" w:w="100"/>
            </w:tcMar>
          </w:tcPr>
          <w:p>
            <w:r>
              <w:rPr>
                <w:b w:val="false"/>
                <w:bCs w:val="false"/>
              </w:rPr>
              <w:t xml:space="preserve">one row per adset per day</w:t>
            </w:r>
          </w:p>
        </w:tc>
        <w:tc>
          <w:tcPr>
            <w:tcW w:type="dxa" w:w="4340"/>
            <w:tcMar>
              <w:top w:type="dxa" w:w="80"/>
              <w:left w:type="dxa" w:w="100"/>
              <w:bottom w:type="dxa" w:w="80"/>
              <w:right w:type="dxa" w:w="100"/>
            </w:tcMar>
          </w:tcPr>
          <w:p>
            <w:r>
              <w:rPr>
                <w:b w:val="false"/>
                <w:bCs w:val="false"/>
              </w:rPr>
              <w:t xml:space="preserve">Left-joins the above four on ecd_code and date. This is the only object the NL2SQL layer queries.</w:t>
            </w:r>
          </w:p>
        </w:tc>
      </w:tr>
    </w:tbl>
    <w:p>
      <w:pPr>
        <w:spacing w:after="160"/>
      </w:pPr>
      <w:r>
        <w:t xml:space="preserve">This join only works to the extent that ECD codes are populated consistently across all three sources. Before building against the real warehouse, it's worth confirming three things with the teams that own these pipelines: that every adset actually receives an ECD code before it goes live (not retroactively), that the Salesforce and Adobe exports tag records with that same code rather than a derivative or renamed version of it, and that there's a defined behavior for adsets that have platform spend but no matching Salesforce or Adobe row yet (the scaffold treats this as zero revenue / zero visits via LEFT JOIN, which may or may not match your reporting conventions).</w:t>
      </w:r>
    </w:p>
    <w:p>
      <w:pPr>
        <w:pStyle w:val="Heading1"/>
        <w:spacing w:after="160" w:before="360"/>
      </w:pPr>
      <w:r>
        <w:t xml:space="preserve">5. Example: A Prompt End to End</w:t>
      </w:r>
    </w:p>
    <w:p>
      <w:pPr>
        <w:spacing w:after="160"/>
      </w:pPr>
      <w:r>
        <w:t xml:space="preserve">A user types: “show me spend, clicks, revenue and visits by platform for the last 14 days.” The language model reads this against the semantic layer and returns a structured spec requesting the metrics spend, clicks, revenue, and visits, grouped by platform, over a 14-day date range. The query builder turns that into a parameterized SQL statement selecting those four aggregate expressions from unified_metrics, grouped by platform, with the date range and a row limit bound as parameters — never as string-interpolated text. The safety guard confirms the statement is a single SELECT against the approved view and executes it through a read-only connection. The five resulting rows (one per platform) come back to the frontend, which renders a bar chart and a table, and makes that exact result set available for CSV or Excel download. This flow is implemented and runnable in the accompanying scaffold.</w:t>
      </w:r>
    </w:p>
    <w:p>
      <w:pPr>
        <w:pStyle w:val="Heading1"/>
        <w:spacing w:after="160" w:before="360"/>
      </w:pPr>
      <w:r>
        <w:t xml:space="preserve">6. Dashboard Rendering and Excel/CSV Export</w:t>
      </w:r>
    </w:p>
    <w:p>
      <w:pPr>
        <w:spacing w:after="160"/>
      </w:pPr>
      <w:r>
        <w:t xml:space="preserve">The dashboard automatically picks a visualization based on the shape of the query rather than requiring the user to choose a chart type. A request with no explicit breakdown — "what's my total spend and revenue" — renders as score cards: one tile per metric showing the headline number. A request grouped by date — "spend trend over the last 30 days" — renders as a line chart. A request grouped by any other dimension, such as platform, campaign, or adset, renders as a grouped bar chart. In every case a plain data table is shown beneath the visualization so the literal numbers behind it are always visible.</w:t>
      </w:r>
    </w:p>
    <w:p>
      <w:pPr>
        <w:spacing w:after="160"/>
      </w:pPr>
      <w:r>
        <w:t xml:space="preserve">Score cards additionally support period-over-period and year-over-year comparison: a prompt like "total spend and revenue for the last 14 days compared to previous period" runs the totals query twice — once for the requested range and once for the immediately preceding range of equal length (or the same dates one year earlier, for a year-over-year request) — and each card shows the percentage change with an up or down indicator. This comparison logic lives entirely in the backend (see Section 3.4) so the frontend never has to reason about date math.</w:t>
      </w:r>
    </w:p>
    <w:p>
      <w:pPr>
        <w:spacing w:after="160"/>
      </w:pPr>
      <w:r>
        <w:t xml:space="preserve">The export buttons download that same result set — not a re-query — as either a CSV or a formatted Excel workbook, which is what makes verification possible: a user who doubts a number can open the export and check it against Salesforce or Adobe directly using the ECD codes present in the export.</w:t>
      </w:r>
    </w:p>
    <w:p>
      <w:pPr>
        <w:pStyle w:val="Heading1"/>
        <w:spacing w:after="160" w:before="360"/>
      </w:pPr>
      <w:r>
        <w:t xml:space="preserve">7. Recommended Technology Stack</w:t>
      </w:r>
    </w:p>
    <w:p>
      <w:pPr>
        <w:spacing w:after="160"/>
      </w:pPr>
      <w:r>
        <w:t xml:space="preserve">A tech stack was requested rather than specified, so the recommendation below favors a combination that is well-supported for both LLM-integration work and traditional dashboarding, and that a typical analytics/data engineering team can maintain without highly specialized hiring.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840"/>
      </w:tblGrid>
      <w:tr>
        <w:trPr>
          <w:tblHeader/>
        </w:trPr>
        <w:tc>
          <w:tcPr>
            <w:tcW w:type="dxa" w:w="2000"/>
            <w:shd w:fill="DDDDF0" w:val="clear"/>
            <w:tcMar>
              <w:top w:type="dxa" w:w="80"/>
              <w:left w:type="dxa" w:w="100"/>
              <w:bottom w:type="dxa" w:w="80"/>
              <w:right w:type="dxa" w:w="100"/>
            </w:tcMar>
          </w:tcPr>
          <w:p>
            <w:r>
              <w:rPr>
                <w:b/>
                <w:bCs/>
              </w:rPr>
              <w:t xml:space="preserve">Layer</w:t>
            </w:r>
          </w:p>
        </w:tc>
        <w:tc>
          <w:tcPr>
            <w:tcW w:type="dxa" w:w="2800"/>
            <w:shd w:fill="DDDDF0" w:val="clear"/>
            <w:tcMar>
              <w:top w:type="dxa" w:w="80"/>
              <w:left w:type="dxa" w:w="100"/>
              <w:bottom w:type="dxa" w:w="80"/>
              <w:right w:type="dxa" w:w="100"/>
            </w:tcMar>
          </w:tcPr>
          <w:p>
            <w:r>
              <w:rPr>
                <w:b/>
                <w:bCs/>
              </w:rPr>
              <w:t xml:space="preserve">Recommendation</w:t>
            </w:r>
          </w:p>
        </w:tc>
        <w:tc>
          <w:tcPr>
            <w:tcW w:type="dxa" w:w="4840"/>
            <w:shd w:fill="DDDDF0" w:val="clear"/>
            <w:tcMar>
              <w:top w:type="dxa" w:w="80"/>
              <w:left w:type="dxa" w:w="100"/>
              <w:bottom w:type="dxa" w:w="80"/>
              <w:right w:type="dxa" w:w="100"/>
            </w:tcMar>
          </w:tcPr>
          <w:p>
            <w:r>
              <w:rPr>
                <w:b/>
                <w:bCs/>
              </w:rPr>
              <w:t xml:space="preserve">Why</w:t>
            </w:r>
          </w:p>
        </w:tc>
      </w:tr>
      <w:tr>
        <w:tc>
          <w:tcPr>
            <w:tcW w:type="dxa" w:w="2000"/>
            <w:tcMar>
              <w:top w:type="dxa" w:w="80"/>
              <w:left w:type="dxa" w:w="100"/>
              <w:bottom w:type="dxa" w:w="80"/>
              <w:right w:type="dxa" w:w="100"/>
            </w:tcMar>
          </w:tcPr>
          <w:p>
            <w:r>
              <w:rPr>
                <w:b w:val="false"/>
                <w:bCs w:val="false"/>
              </w:rPr>
              <w:t xml:space="preserve">Frontend</w:t>
            </w:r>
          </w:p>
        </w:tc>
        <w:tc>
          <w:tcPr>
            <w:tcW w:type="dxa" w:w="2800"/>
            <w:tcMar>
              <w:top w:type="dxa" w:w="80"/>
              <w:left w:type="dxa" w:w="100"/>
              <w:bottom w:type="dxa" w:w="80"/>
              <w:right w:type="dxa" w:w="100"/>
            </w:tcMar>
          </w:tcPr>
          <w:p>
            <w:r>
              <w:rPr>
                <w:b w:val="false"/>
                <w:bCs w:val="false"/>
              </w:rPr>
              <w:t xml:space="preserve">React + TypeScript + Vite</w:t>
            </w:r>
          </w:p>
        </w:tc>
        <w:tc>
          <w:tcPr>
            <w:tcW w:type="dxa" w:w="4840"/>
            <w:tcMar>
              <w:top w:type="dxa" w:w="80"/>
              <w:left w:type="dxa" w:w="100"/>
              <w:bottom w:type="dxa" w:w="80"/>
              <w:right w:type="dxa" w:w="100"/>
            </w:tcMar>
          </w:tcPr>
          <w:p>
            <w:r>
              <w:rPr>
                <w:b w:val="false"/>
                <w:bCs w:val="false"/>
              </w:rPr>
              <w:t xml:space="preserve">Fast dev loop, large ecosystem, easy to hand off to any frontend engineer. Recharts or a similar library covers standard dashboard charts.</w:t>
            </w:r>
          </w:p>
        </w:tc>
      </w:tr>
      <w:tr>
        <w:tc>
          <w:tcPr>
            <w:tcW w:type="dxa" w:w="2000"/>
            <w:tcMar>
              <w:top w:type="dxa" w:w="80"/>
              <w:left w:type="dxa" w:w="100"/>
              <w:bottom w:type="dxa" w:w="80"/>
              <w:right w:type="dxa" w:w="100"/>
            </w:tcMar>
          </w:tcPr>
          <w:p>
            <w:r>
              <w:rPr>
                <w:b w:val="false"/>
                <w:bCs w:val="false"/>
              </w:rPr>
              <w:t xml:space="preserve">Backend API</w:t>
            </w:r>
          </w:p>
        </w:tc>
        <w:tc>
          <w:tcPr>
            <w:tcW w:type="dxa" w:w="2800"/>
            <w:tcMar>
              <w:top w:type="dxa" w:w="80"/>
              <w:left w:type="dxa" w:w="100"/>
              <w:bottom w:type="dxa" w:w="80"/>
              <w:right w:type="dxa" w:w="100"/>
            </w:tcMar>
          </w:tcPr>
          <w:p>
            <w:r>
              <w:rPr>
                <w:b w:val="false"/>
                <w:bCs w:val="false"/>
              </w:rPr>
              <w:t xml:space="preserve">Python + FastAPI</w:t>
            </w:r>
          </w:p>
        </w:tc>
        <w:tc>
          <w:tcPr>
            <w:tcW w:type="dxa" w:w="4840"/>
            <w:tcMar>
              <w:top w:type="dxa" w:w="80"/>
              <w:left w:type="dxa" w:w="100"/>
              <w:bottom w:type="dxa" w:w="80"/>
              <w:right w:type="dxa" w:w="100"/>
            </w:tcMar>
          </w:tcPr>
          <w:p>
            <w:r>
              <w:rPr>
                <w:b w:val="false"/>
                <w:bCs w:val="false"/>
              </w:rPr>
              <w:t xml:space="preserve">Strong fit for both the LLM-calling code and the pandas/openpyxl export logic; async-friendly; auto-generated OpenAPI docs.</w:t>
            </w:r>
          </w:p>
        </w:tc>
      </w:tr>
      <w:tr>
        <w:tc>
          <w:tcPr>
            <w:tcW w:type="dxa" w:w="2000"/>
            <w:tcMar>
              <w:top w:type="dxa" w:w="80"/>
              <w:left w:type="dxa" w:w="100"/>
              <w:bottom w:type="dxa" w:w="80"/>
              <w:right w:type="dxa" w:w="100"/>
            </w:tcMar>
          </w:tcPr>
          <w:p>
            <w:r>
              <w:rPr>
                <w:b w:val="false"/>
                <w:bCs w:val="false"/>
              </w:rPr>
              <w:t xml:space="preserve">LLM</w:t>
            </w:r>
          </w:p>
        </w:tc>
        <w:tc>
          <w:tcPr>
            <w:tcW w:type="dxa" w:w="2800"/>
            <w:tcMar>
              <w:top w:type="dxa" w:w="80"/>
              <w:left w:type="dxa" w:w="100"/>
              <w:bottom w:type="dxa" w:w="80"/>
              <w:right w:type="dxa" w:w="100"/>
            </w:tcMar>
          </w:tcPr>
          <w:p>
            <w:r>
              <w:rPr>
                <w:b w:val="false"/>
                <w:bCs w:val="false"/>
              </w:rPr>
              <w:t xml:space="preserve">Claude (Anthropic API), structured output constrained to the semantic layer</w:t>
            </w:r>
          </w:p>
        </w:tc>
        <w:tc>
          <w:tcPr>
            <w:tcW w:type="dxa" w:w="4840"/>
            <w:tcMar>
              <w:top w:type="dxa" w:w="80"/>
              <w:left w:type="dxa" w:w="100"/>
              <w:bottom w:type="dxa" w:w="80"/>
              <w:right w:type="dxa" w:w="100"/>
            </w:tcMar>
          </w:tcPr>
          <w:p>
            <w:r>
              <w:rPr>
                <w:b w:val="false"/>
                <w:bCs w:val="false"/>
              </w:rPr>
              <w:t xml:space="preserve">Used only to produce the QuerySpec JSON described in Section 3.4, not to write SQL directly.</w:t>
            </w:r>
          </w:p>
        </w:tc>
      </w:tr>
      <w:tr>
        <w:tc>
          <w:tcPr>
            <w:tcW w:type="dxa" w:w="2000"/>
            <w:tcMar>
              <w:top w:type="dxa" w:w="80"/>
              <w:left w:type="dxa" w:w="100"/>
              <w:bottom w:type="dxa" w:w="80"/>
              <w:right w:type="dxa" w:w="100"/>
            </w:tcMar>
          </w:tcPr>
          <w:p>
            <w:r>
              <w:rPr>
                <w:b w:val="false"/>
                <w:bCs w:val="false"/>
              </w:rPr>
              <w:t xml:space="preserve">Warehouse</w:t>
            </w:r>
          </w:p>
        </w:tc>
        <w:tc>
          <w:tcPr>
            <w:tcW w:type="dxa" w:w="2800"/>
            <w:tcMar>
              <w:top w:type="dxa" w:w="80"/>
              <w:left w:type="dxa" w:w="100"/>
              <w:bottom w:type="dxa" w:w="80"/>
              <w:right w:type="dxa" w:w="100"/>
            </w:tcMar>
          </w:tcPr>
          <w:p>
            <w:r>
              <w:rPr>
                <w:b w:val="false"/>
                <w:bCs w:val="false"/>
              </w:rPr>
              <w:t xml:space="preserve">Your existing Postgres/Snowflake/BigQuery database</w:t>
            </w:r>
          </w:p>
        </w:tc>
        <w:tc>
          <w:tcPr>
            <w:tcW w:type="dxa" w:w="4840"/>
            <w:tcMar>
              <w:top w:type="dxa" w:w="80"/>
              <w:left w:type="dxa" w:w="100"/>
              <w:bottom w:type="dxa" w:w="80"/>
              <w:right w:type="dxa" w:w="100"/>
            </w:tcMar>
          </w:tcPr>
          <w:p>
            <w:r>
              <w:rPr>
                <w:b w:val="false"/>
                <w:bCs w:val="false"/>
              </w:rPr>
              <w:t xml:space="preserve">No migration needed — this design adds one view, not a new database.</w:t>
            </w:r>
          </w:p>
        </w:tc>
      </w:tr>
      <w:tr>
        <w:tc>
          <w:tcPr>
            <w:tcW w:type="dxa" w:w="2000"/>
            <w:tcMar>
              <w:top w:type="dxa" w:w="80"/>
              <w:left w:type="dxa" w:w="100"/>
              <w:bottom w:type="dxa" w:w="80"/>
              <w:right w:type="dxa" w:w="100"/>
            </w:tcMar>
          </w:tcPr>
          <w:p>
            <w:r>
              <w:rPr>
                <w:b w:val="false"/>
                <w:bCs w:val="false"/>
              </w:rPr>
              <w:t xml:space="preserve">Result cache</w:t>
            </w:r>
          </w:p>
        </w:tc>
        <w:tc>
          <w:tcPr>
            <w:tcW w:type="dxa" w:w="2800"/>
            <w:tcMar>
              <w:top w:type="dxa" w:w="80"/>
              <w:left w:type="dxa" w:w="100"/>
              <w:bottom w:type="dxa" w:w="80"/>
              <w:right w:type="dxa" w:w="100"/>
            </w:tcMar>
          </w:tcPr>
          <w:p>
            <w:r>
              <w:rPr>
                <w:b w:val="false"/>
                <w:bCs w:val="false"/>
              </w:rPr>
              <w:t xml:space="preserve">Redis</w:t>
            </w:r>
          </w:p>
        </w:tc>
        <w:tc>
          <w:tcPr>
            <w:tcW w:type="dxa" w:w="4840"/>
            <w:tcMar>
              <w:top w:type="dxa" w:w="80"/>
              <w:left w:type="dxa" w:w="100"/>
              <w:bottom w:type="dxa" w:w="80"/>
              <w:right w:type="dxa" w:w="100"/>
            </w:tcMar>
          </w:tcPr>
          <w:p>
            <w:r>
              <w:rPr>
                <w:b w:val="false"/>
                <w:bCs w:val="false"/>
              </w:rPr>
              <w:t xml:space="preserve">Backs the export-matches-dashboard guarantee across multiple backend instances; also a natural place to rate-limit and de-duplicate repeated prompts.</w:t>
            </w:r>
          </w:p>
        </w:tc>
      </w:tr>
      <w:tr>
        <w:tc>
          <w:tcPr>
            <w:tcW w:type="dxa" w:w="2000"/>
            <w:tcMar>
              <w:top w:type="dxa" w:w="80"/>
              <w:left w:type="dxa" w:w="100"/>
              <w:bottom w:type="dxa" w:w="80"/>
              <w:right w:type="dxa" w:w="100"/>
            </w:tcMar>
          </w:tcPr>
          <w:p>
            <w:r>
              <w:rPr>
                <w:b w:val="false"/>
                <w:bCs w:val="false"/>
              </w:rPr>
              <w:t xml:space="preserve">Auth</w:t>
            </w:r>
          </w:p>
        </w:tc>
        <w:tc>
          <w:tcPr>
            <w:tcW w:type="dxa" w:w="2800"/>
            <w:tcMar>
              <w:top w:type="dxa" w:w="80"/>
              <w:left w:type="dxa" w:w="100"/>
              <w:bottom w:type="dxa" w:w="80"/>
              <w:right w:type="dxa" w:w="100"/>
            </w:tcMar>
          </w:tcPr>
          <w:p>
            <w:r>
              <w:rPr>
                <w:b w:val="false"/>
                <w:bCs w:val="false"/>
              </w:rPr>
              <w:t xml:space="preserve">OIDC/SSO (Okta, Azure AD, or your existing IdP)</w:t>
            </w:r>
          </w:p>
        </w:tc>
        <w:tc>
          <w:tcPr>
            <w:tcW w:type="dxa" w:w="4840"/>
            <w:tcMar>
              <w:top w:type="dxa" w:w="80"/>
              <w:left w:type="dxa" w:w="100"/>
              <w:bottom w:type="dxa" w:w="80"/>
              <w:right w:type="dxa" w:w="100"/>
            </w:tcMar>
          </w:tcPr>
          <w:p>
            <w:r>
              <w:rPr>
                <w:b w:val="false"/>
                <w:bCs w:val="false"/>
              </w:rPr>
              <w:t xml:space="preserve">Reuses existing employee identity; enables row-level access rules per user or team.</w:t>
            </w:r>
          </w:p>
        </w:tc>
      </w:tr>
      <w:tr>
        <w:tc>
          <w:tcPr>
            <w:tcW w:type="dxa" w:w="2000"/>
            <w:tcMar>
              <w:top w:type="dxa" w:w="80"/>
              <w:left w:type="dxa" w:w="100"/>
              <w:bottom w:type="dxa" w:w="80"/>
              <w:right w:type="dxa" w:w="100"/>
            </w:tcMar>
          </w:tcPr>
          <w:p>
            <w:r>
              <w:rPr>
                <w:b w:val="false"/>
                <w:bCs w:val="false"/>
              </w:rPr>
              <w:t xml:space="preserve">Hosting</w:t>
            </w:r>
          </w:p>
        </w:tc>
        <w:tc>
          <w:tcPr>
            <w:tcW w:type="dxa" w:w="2800"/>
            <w:tcMar>
              <w:top w:type="dxa" w:w="80"/>
              <w:left w:type="dxa" w:w="100"/>
              <w:bottom w:type="dxa" w:w="80"/>
              <w:right w:type="dxa" w:w="100"/>
            </w:tcMar>
          </w:tcPr>
          <w:p>
            <w:r>
              <w:rPr>
                <w:b w:val="false"/>
                <w:bCs w:val="false"/>
              </w:rPr>
              <w:t xml:space="preserve">Pilot: Render (backend) + Vercel (frontend), both free tier. Production: containerized (Docker) on your existing cloud provider, e.g. ECS/Kubernetes</w:t>
            </w:r>
          </w:p>
        </w:tc>
        <w:tc>
          <w:tcPr>
            <w:tcW w:type="dxa" w:w="4840"/>
            <w:tcMar>
              <w:top w:type="dxa" w:w="80"/>
              <w:left w:type="dxa" w:w="100"/>
              <w:bottom w:type="dxa" w:w="80"/>
              <w:right w:type="dxa" w:w="100"/>
            </w:tcMar>
          </w:tcPr>
          <w:p>
            <w:r>
              <w:rPr>
                <w:b w:val="false"/>
                <w:bCs w:val="false"/>
              </w:rPr>
              <w:t xml:space="preserve">Render + Vercel let the pilot run at a public URL with zero infrastructure setup; see Section 10. For a production rollout, move to your standard cloud provider for cost control, private networking to the warehouse, and SLA guarantees.</w:t>
            </w:r>
          </w:p>
        </w:tc>
      </w:tr>
      <w:tr>
        <w:tc>
          <w:tcPr>
            <w:tcW w:type="dxa" w:w="2000"/>
            <w:tcMar>
              <w:top w:type="dxa" w:w="80"/>
              <w:left w:type="dxa" w:w="100"/>
              <w:bottom w:type="dxa" w:w="80"/>
              <w:right w:type="dxa" w:w="100"/>
            </w:tcMar>
          </w:tcPr>
          <w:p>
            <w:r>
              <w:rPr>
                <w:b w:val="false"/>
                <w:bCs w:val="false"/>
              </w:rPr>
              <w:t xml:space="preserve">Observability</w:t>
            </w:r>
          </w:p>
        </w:tc>
        <w:tc>
          <w:tcPr>
            <w:tcW w:type="dxa" w:w="2800"/>
            <w:tcMar>
              <w:top w:type="dxa" w:w="80"/>
              <w:left w:type="dxa" w:w="100"/>
              <w:bottom w:type="dxa" w:w="80"/>
              <w:right w:type="dxa" w:w="100"/>
            </w:tcMar>
          </w:tcPr>
          <w:p>
            <w:r>
              <w:rPr>
                <w:b w:val="false"/>
                <w:bCs w:val="false"/>
              </w:rPr>
              <w:t xml:space="preserve">OpenTelemetry + a log/metrics backend (e.g. Grafana, Datadog)</w:t>
            </w:r>
          </w:p>
        </w:tc>
        <w:tc>
          <w:tcPr>
            <w:tcW w:type="dxa" w:w="4840"/>
            <w:tcMar>
              <w:top w:type="dxa" w:w="80"/>
              <w:left w:type="dxa" w:w="100"/>
              <w:bottom w:type="dxa" w:w="80"/>
              <w:right w:type="dxa" w:w="100"/>
            </w:tcMar>
          </w:tcPr>
          <w:p>
            <w:r>
              <w:rPr>
                <w:b w:val="false"/>
                <w:bCs w:val="false"/>
              </w:rPr>
              <w:t xml:space="preserve">Every generated SQL statement should be logged for audit and debugging; LLM calls should be tracked for cost.</w:t>
            </w:r>
          </w:p>
        </w:tc>
      </w:tr>
    </w:tbl>
    <w:p>
      <w:pPr>
        <w:pStyle w:val="Heading1"/>
        <w:spacing w:after="160" w:before="360"/>
      </w:pPr>
      <w:r>
        <w:t xml:space="preserve">8. Security and Governance</w:t>
      </w:r>
    </w:p>
    <w:p>
      <w:pPr>
        <w:spacing w:after="160"/>
      </w:pPr>
      <w:r>
        <w:t xml:space="preserve">Three layers of protection apply to every generated query, in keeping with current practice for running LLM-generated SQL against production data: the semantic layer constrains what the model can ask for in the first place; the deterministic query builder assembles SQL only from whitelisted expressions, never from raw user text; and the safety guard re-validates the final statement — rejecting anything that isn't a single SELECT against the approved view, blocking write and DDL keywords outright, and requiring a bound row limit. Underneath all of that, the database connection itself should use a role with SELECT-only privileges on the semantic views, so that a failure in any of the above layers still cannot mutate data.</w:t>
      </w:r>
    </w:p>
    <w:p>
      <w:pPr>
        <w:spacing w:after="160"/>
      </w:pPr>
      <w:r>
        <w:t xml:space="preserve">Beyond query safety, standard application security practices apply: authentication via the organization's existing identity provider, role- or team-based row-level restrictions (for example, a user should not be able to pull revenue figures for a business unit they don't belong to), and an audit log of every prompt, the SQL it produced, and who ran it. Because LLM calls have a real cost per request, the backend should also apply basic rate limiting per user.</w:t>
      </w:r>
    </w:p>
    <w:p>
      <w:pPr>
        <w:pStyle w:val="Heading1"/>
        <w:spacing w:after="160" w:before="360"/>
      </w:pPr>
      <w:r>
        <w:t xml:space="preserve">9. Phased Rollout Plan</w:t>
      </w:r>
    </w:p>
    <w:p>
      <w:pPr>
        <w:spacing w:after="160"/>
      </w:pPr>
      <w:r>
        <w:t xml:space="preserve">The table below sequences the work assuming the central database already exists, as confirmed for this project.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540"/>
      </w:tblGrid>
      <w:tr>
        <w:trPr>
          <w:tblHeader/>
        </w:trPr>
        <w:tc>
          <w:tcPr>
            <w:tcW w:type="dxa" w:w="900"/>
            <w:shd w:fill="DDDDF0" w:val="clear"/>
            <w:tcMar>
              <w:top w:type="dxa" w:w="80"/>
              <w:left w:type="dxa" w:w="100"/>
              <w:bottom w:type="dxa" w:w="80"/>
              <w:right w:type="dxa" w:w="100"/>
            </w:tcMar>
          </w:tcPr>
          <w:p>
            <w:r>
              <w:rPr>
                <w:b/>
                <w:bCs/>
              </w:rPr>
              <w:t xml:space="preserve">Phase</w:t>
            </w:r>
          </w:p>
        </w:tc>
        <w:tc>
          <w:tcPr>
            <w:tcW w:type="dxa" w:w="3200"/>
            <w:shd w:fill="DDDDF0" w:val="clear"/>
            <w:tcMar>
              <w:top w:type="dxa" w:w="80"/>
              <w:left w:type="dxa" w:w="100"/>
              <w:bottom w:type="dxa" w:w="80"/>
              <w:right w:type="dxa" w:w="100"/>
            </w:tcMar>
          </w:tcPr>
          <w:p>
            <w:r>
              <w:rPr>
                <w:b/>
                <w:bCs/>
              </w:rPr>
              <w:t xml:space="preserve">Focus</w:t>
            </w:r>
          </w:p>
        </w:tc>
        <w:tc>
          <w:tcPr>
            <w:tcW w:type="dxa" w:w="5540"/>
            <w:shd w:fill="DDDDF0" w:val="clear"/>
            <w:tcMar>
              <w:top w:type="dxa" w:w="80"/>
              <w:left w:type="dxa" w:w="100"/>
              <w:bottom w:type="dxa" w:w="80"/>
              <w:right w:type="dxa" w:w="100"/>
            </w:tcMar>
          </w:tcPr>
          <w:p>
            <w:r>
              <w:rPr>
                <w:b/>
                <w:bCs/>
              </w:rPr>
              <w:t xml:space="preserve">Key deliverables</w:t>
            </w:r>
          </w:p>
        </w:tc>
      </w:tr>
      <w:tr>
        <w:tc>
          <w:tcPr>
            <w:tcW w:type="dxa" w:w="900"/>
            <w:tcMar>
              <w:top w:type="dxa" w:w="80"/>
              <w:left w:type="dxa" w:w="100"/>
              <w:bottom w:type="dxa" w:w="80"/>
              <w:right w:type="dxa" w:w="100"/>
            </w:tcMar>
          </w:tcPr>
          <w:p>
            <w:r>
              <w:rPr>
                <w:b w:val="false"/>
                <w:bCs w:val="false"/>
              </w:rPr>
              <w:t xml:space="preserve">0</w:t>
            </w:r>
          </w:p>
        </w:tc>
        <w:tc>
          <w:tcPr>
            <w:tcW w:type="dxa" w:w="3200"/>
            <w:tcMar>
              <w:top w:type="dxa" w:w="80"/>
              <w:left w:type="dxa" w:w="100"/>
              <w:bottom w:type="dxa" w:w="80"/>
              <w:right w:type="dxa" w:w="100"/>
            </w:tcMar>
          </w:tcPr>
          <w:p>
            <w:r>
              <w:rPr>
                <w:b w:val="false"/>
                <w:bCs w:val="false"/>
              </w:rPr>
              <w:t xml:space="preserve">Data audit</w:t>
            </w:r>
          </w:p>
        </w:tc>
        <w:tc>
          <w:tcPr>
            <w:tcW w:type="dxa" w:w="5540"/>
            <w:tcMar>
              <w:top w:type="dxa" w:w="80"/>
              <w:left w:type="dxa" w:w="100"/>
              <w:bottom w:type="dxa" w:w="80"/>
              <w:right w:type="dxa" w:w="100"/>
            </w:tcMar>
          </w:tcPr>
          <w:p>
            <w:r>
              <w:rPr>
                <w:b w:val="false"/>
                <w:bCs w:val="false"/>
              </w:rPr>
              <w:t xml:space="preserve">Confirm ECD code coverage and consistency across ad-platform, Salesforce, and Adobe extracts. Agree on the exact revenue formula and how to handle unmatched rows.</w:t>
            </w:r>
          </w:p>
        </w:tc>
      </w:tr>
      <w:tr>
        <w:tc>
          <w:tcPr>
            <w:tcW w:type="dxa" w:w="900"/>
            <w:tcMar>
              <w:top w:type="dxa" w:w="80"/>
              <w:left w:type="dxa" w:w="100"/>
              <w:bottom w:type="dxa" w:w="80"/>
              <w:right w:type="dxa" w:w="100"/>
            </w:tcMar>
          </w:tcPr>
          <w:p>
            <w:r>
              <w:rPr>
                <w:b w:val="false"/>
                <w:bCs w:val="false"/>
              </w:rPr>
              <w:t xml:space="preserve">1</w:t>
            </w:r>
          </w:p>
        </w:tc>
        <w:tc>
          <w:tcPr>
            <w:tcW w:type="dxa" w:w="3200"/>
            <w:tcMar>
              <w:top w:type="dxa" w:w="80"/>
              <w:left w:type="dxa" w:w="100"/>
              <w:bottom w:type="dxa" w:w="80"/>
              <w:right w:type="dxa" w:w="100"/>
            </w:tcMar>
          </w:tcPr>
          <w:p>
            <w:r>
              <w:rPr>
                <w:b w:val="false"/>
                <w:bCs w:val="false"/>
              </w:rPr>
              <w:t xml:space="preserve">Semantic layer + view</w:t>
            </w:r>
          </w:p>
        </w:tc>
        <w:tc>
          <w:tcPr>
            <w:tcW w:type="dxa" w:w="5540"/>
            <w:tcMar>
              <w:top w:type="dxa" w:w="80"/>
              <w:left w:type="dxa" w:w="100"/>
              <w:bottom w:type="dxa" w:w="80"/>
              <w:right w:type="dxa" w:w="100"/>
            </w:tcMar>
          </w:tcPr>
          <w:p>
            <w:r>
              <w:rPr>
                <w:b w:val="false"/>
                <w:bCs w:val="false"/>
              </w:rPr>
              <w:t xml:space="preserve">Build the unified_metrics view (or materialized view) against the real warehouse; define the initial metric/dimension registry with the analytics team.</w:t>
            </w:r>
          </w:p>
        </w:tc>
      </w:tr>
      <w:tr>
        <w:tc>
          <w:tcPr>
            <w:tcW w:type="dxa" w:w="900"/>
            <w:tcMar>
              <w:top w:type="dxa" w:w="80"/>
              <w:left w:type="dxa" w:w="100"/>
              <w:bottom w:type="dxa" w:w="80"/>
              <w:right w:type="dxa" w:w="100"/>
            </w:tcMar>
          </w:tcPr>
          <w:p>
            <w:r>
              <w:rPr>
                <w:b w:val="false"/>
                <w:bCs w:val="false"/>
              </w:rPr>
              <w:t xml:space="preserve">2</w:t>
            </w:r>
          </w:p>
        </w:tc>
        <w:tc>
          <w:tcPr>
            <w:tcW w:type="dxa" w:w="3200"/>
            <w:tcMar>
              <w:top w:type="dxa" w:w="80"/>
              <w:left w:type="dxa" w:w="100"/>
              <w:bottom w:type="dxa" w:w="80"/>
              <w:right w:type="dxa" w:w="100"/>
            </w:tcMar>
          </w:tcPr>
          <w:p>
            <w:r>
              <w:rPr>
                <w:b w:val="false"/>
                <w:bCs w:val="false"/>
              </w:rPr>
              <w:t xml:space="preserve">NL2SQL pipeline</w:t>
            </w:r>
          </w:p>
        </w:tc>
        <w:tc>
          <w:tcPr>
            <w:tcW w:type="dxa" w:w="5540"/>
            <w:tcMar>
              <w:top w:type="dxa" w:w="80"/>
              <w:left w:type="dxa" w:w="100"/>
              <w:bottom w:type="dxa" w:w="80"/>
              <w:right w:type="dxa" w:w="100"/>
            </w:tcMar>
          </w:tcPr>
          <w:p>
            <w:r>
              <w:rPr>
                <w:b w:val="false"/>
                <w:bCs w:val="false"/>
              </w:rPr>
              <w:t xml:space="preserve">Implement the two-stage prompt-to-QuerySpec-to-SQL pipeline and the safety guard; connect to a read-only database role.</w:t>
            </w:r>
          </w:p>
        </w:tc>
      </w:tr>
      <w:tr>
        <w:tc>
          <w:tcPr>
            <w:tcW w:type="dxa" w:w="900"/>
            <w:tcMar>
              <w:top w:type="dxa" w:w="80"/>
              <w:left w:type="dxa" w:w="100"/>
              <w:bottom w:type="dxa" w:w="80"/>
              <w:right w:type="dxa" w:w="100"/>
            </w:tcMar>
          </w:tcPr>
          <w:p>
            <w:r>
              <w:rPr>
                <w:b w:val="false"/>
                <w:bCs w:val="false"/>
              </w:rPr>
              <w:t xml:space="preserve">3</w:t>
            </w:r>
          </w:p>
        </w:tc>
        <w:tc>
          <w:tcPr>
            <w:tcW w:type="dxa" w:w="3200"/>
            <w:tcMar>
              <w:top w:type="dxa" w:w="80"/>
              <w:left w:type="dxa" w:w="100"/>
              <w:bottom w:type="dxa" w:w="80"/>
              <w:right w:type="dxa" w:w="100"/>
            </w:tcMar>
          </w:tcPr>
          <w:p>
            <w:r>
              <w:rPr>
                <w:b w:val="false"/>
                <w:bCs w:val="false"/>
              </w:rPr>
              <w:t xml:space="preserve">Backend + export</w:t>
            </w:r>
          </w:p>
        </w:tc>
        <w:tc>
          <w:tcPr>
            <w:tcW w:type="dxa" w:w="5540"/>
            <w:tcMar>
              <w:top w:type="dxa" w:w="80"/>
              <w:left w:type="dxa" w:w="100"/>
              <w:bottom w:type="dxa" w:w="80"/>
              <w:right w:type="dxa" w:w="100"/>
            </w:tcMar>
          </w:tcPr>
          <w:p>
            <w:r>
              <w:rPr>
                <w:b w:val="false"/>
                <w:bCs w:val="false"/>
              </w:rPr>
              <w:t xml:space="preserve">Stand up the FastAPI service, the query and export endpoints, and a real cache (Redis) shared across instances.</w:t>
            </w:r>
          </w:p>
        </w:tc>
      </w:tr>
      <w:tr>
        <w:tc>
          <w:tcPr>
            <w:tcW w:type="dxa" w:w="900"/>
            <w:tcMar>
              <w:top w:type="dxa" w:w="80"/>
              <w:left w:type="dxa" w:w="100"/>
              <w:bottom w:type="dxa" w:w="80"/>
              <w:right w:type="dxa" w:w="100"/>
            </w:tcMar>
          </w:tcPr>
          <w:p>
            <w:r>
              <w:rPr>
                <w:b w:val="false"/>
                <w:bCs w:val="false"/>
              </w:rPr>
              <w:t xml:space="preserve">4</w:t>
            </w:r>
          </w:p>
        </w:tc>
        <w:tc>
          <w:tcPr>
            <w:tcW w:type="dxa" w:w="3200"/>
            <w:tcMar>
              <w:top w:type="dxa" w:w="80"/>
              <w:left w:type="dxa" w:w="100"/>
              <w:bottom w:type="dxa" w:w="80"/>
              <w:right w:type="dxa" w:w="100"/>
            </w:tcMar>
          </w:tcPr>
          <w:p>
            <w:r>
              <w:rPr>
                <w:b w:val="false"/>
                <w:bCs w:val="false"/>
              </w:rPr>
              <w:t xml:space="preserve">Frontend</w:t>
            </w:r>
          </w:p>
        </w:tc>
        <w:tc>
          <w:tcPr>
            <w:tcW w:type="dxa" w:w="5540"/>
            <w:tcMar>
              <w:top w:type="dxa" w:w="80"/>
              <w:left w:type="dxa" w:w="100"/>
              <w:bottom w:type="dxa" w:w="80"/>
              <w:right w:type="dxa" w:w="100"/>
            </w:tcMar>
          </w:tcPr>
          <w:p>
            <w:r>
              <w:rPr>
                <w:b w:val="false"/>
                <w:bCs w:val="false"/>
              </w:rPr>
              <w:t xml:space="preserve">Build the chat and dashboard UI against the backend; add chart type selection and saved/pinned dashboards if desired.</w:t>
            </w:r>
          </w:p>
        </w:tc>
      </w:tr>
      <w:tr>
        <w:tc>
          <w:tcPr>
            <w:tcW w:type="dxa" w:w="900"/>
            <w:tcMar>
              <w:top w:type="dxa" w:w="80"/>
              <w:left w:type="dxa" w:w="100"/>
              <w:bottom w:type="dxa" w:w="80"/>
              <w:right w:type="dxa" w:w="100"/>
            </w:tcMar>
          </w:tcPr>
          <w:p>
            <w:r>
              <w:rPr>
                <w:b w:val="false"/>
                <w:bCs w:val="false"/>
              </w:rPr>
              <w:t xml:space="preserve">5</w:t>
            </w:r>
          </w:p>
        </w:tc>
        <w:tc>
          <w:tcPr>
            <w:tcW w:type="dxa" w:w="3200"/>
            <w:tcMar>
              <w:top w:type="dxa" w:w="80"/>
              <w:left w:type="dxa" w:w="100"/>
              <w:bottom w:type="dxa" w:w="80"/>
              <w:right w:type="dxa" w:w="100"/>
            </w:tcMar>
          </w:tcPr>
          <w:p>
            <w:r>
              <w:rPr>
                <w:b w:val="false"/>
                <w:bCs w:val="false"/>
              </w:rPr>
              <w:t xml:space="preserve">Auth &amp; governance</w:t>
            </w:r>
          </w:p>
        </w:tc>
        <w:tc>
          <w:tcPr>
            <w:tcW w:type="dxa" w:w="5540"/>
            <w:tcMar>
              <w:top w:type="dxa" w:w="80"/>
              <w:left w:type="dxa" w:w="100"/>
              <w:bottom w:type="dxa" w:w="80"/>
              <w:right w:type="dxa" w:w="100"/>
            </w:tcMar>
          </w:tcPr>
          <w:p>
            <w:r>
              <w:rPr>
                <w:b w:val="false"/>
                <w:bCs w:val="false"/>
              </w:rPr>
              <w:t xml:space="preserve">Wire up SSO, row-level access rules, and the audit log; add per-user rate limiting.</w:t>
            </w:r>
          </w:p>
        </w:tc>
      </w:tr>
      <w:tr>
        <w:tc>
          <w:tcPr>
            <w:tcW w:type="dxa" w:w="900"/>
            <w:tcMar>
              <w:top w:type="dxa" w:w="80"/>
              <w:left w:type="dxa" w:w="100"/>
              <w:bottom w:type="dxa" w:w="80"/>
              <w:right w:type="dxa" w:w="100"/>
            </w:tcMar>
          </w:tcPr>
          <w:p>
            <w:r>
              <w:rPr>
                <w:b w:val="false"/>
                <w:bCs w:val="false"/>
              </w:rPr>
              <w:t xml:space="preserve">6</w:t>
            </w:r>
          </w:p>
        </w:tc>
        <w:tc>
          <w:tcPr>
            <w:tcW w:type="dxa" w:w="3200"/>
            <w:tcMar>
              <w:top w:type="dxa" w:w="80"/>
              <w:left w:type="dxa" w:w="100"/>
              <w:bottom w:type="dxa" w:w="80"/>
              <w:right w:type="dxa" w:w="100"/>
            </w:tcMar>
          </w:tcPr>
          <w:p>
            <w:r>
              <w:rPr>
                <w:b w:val="false"/>
                <w:bCs w:val="false"/>
              </w:rPr>
              <w:t xml:space="preserve">Evaluation &amp; pilot</w:t>
            </w:r>
          </w:p>
        </w:tc>
        <w:tc>
          <w:tcPr>
            <w:tcW w:type="dxa" w:w="5540"/>
            <w:tcMar>
              <w:top w:type="dxa" w:w="80"/>
              <w:left w:type="dxa" w:w="100"/>
              <w:bottom w:type="dxa" w:w="80"/>
              <w:right w:type="dxa" w:w="100"/>
            </w:tcMar>
          </w:tcPr>
          <w:p>
            <w:r>
              <w:rPr>
                <w:b w:val="false"/>
                <w:bCs w:val="false"/>
              </w:rPr>
              <w:t xml:space="preserve">Build a test set of representative prompts with known-correct SQL/answers to measure accuracy; run a pilot with a small group before wider rollout.</w:t>
            </w:r>
          </w:p>
        </w:tc>
      </w:tr>
      <w:tr>
        <w:tc>
          <w:tcPr>
            <w:tcW w:type="dxa" w:w="900"/>
            <w:tcMar>
              <w:top w:type="dxa" w:w="80"/>
              <w:left w:type="dxa" w:w="100"/>
              <w:bottom w:type="dxa" w:w="80"/>
              <w:right w:type="dxa" w:w="100"/>
            </w:tcMar>
          </w:tcPr>
          <w:p>
            <w:r>
              <w:rPr>
                <w:b w:val="false"/>
                <w:bCs w:val="false"/>
              </w:rPr>
              <w:t xml:space="preserve">7</w:t>
            </w:r>
          </w:p>
        </w:tc>
        <w:tc>
          <w:tcPr>
            <w:tcW w:type="dxa" w:w="3200"/>
            <w:tcMar>
              <w:top w:type="dxa" w:w="80"/>
              <w:left w:type="dxa" w:w="100"/>
              <w:bottom w:type="dxa" w:w="80"/>
              <w:right w:type="dxa" w:w="100"/>
            </w:tcMar>
          </w:tcPr>
          <w:p>
            <w:r>
              <w:rPr>
                <w:b w:val="false"/>
                <w:bCs w:val="false"/>
              </w:rPr>
              <w:t xml:space="preserve">Hardening &amp; scale</w:t>
            </w:r>
          </w:p>
        </w:tc>
        <w:tc>
          <w:tcPr>
            <w:tcW w:type="dxa" w:w="5540"/>
            <w:tcMar>
              <w:top w:type="dxa" w:w="80"/>
              <w:left w:type="dxa" w:w="100"/>
              <w:bottom w:type="dxa" w:w="80"/>
              <w:right w:type="dxa" w:w="100"/>
            </w:tcMar>
          </w:tcPr>
          <w:p>
            <w:r>
              <w:rPr>
                <w:b w:val="false"/>
                <w:bCs w:val="false"/>
              </w:rPr>
              <w:t xml:space="preserve">Add monitoring/alerting, tune caching and cost, and expand the metric/dimension registry based on pilot feedback.</w:t>
            </w:r>
          </w:p>
        </w:tc>
      </w:tr>
    </w:tbl>
    <w:p>
      <w:pPr>
        <w:pStyle w:val="Heading1"/>
        <w:spacing w:after="160" w:before="360"/>
      </w:pPr>
      <w:r>
        <w:t xml:space="preserve">10. Accompanying Implementation and Live Deployment</w:t>
      </w:r>
    </w:p>
    <w:p>
      <w:pPr>
        <w:spacing w:after="160"/>
      </w:pPr>
      <w:r>
        <w:t xml:space="preserve">A working implementation accompanies this document so the architecture above isn't only theoretical. It includes a FastAPI backend implementing the semantic layer, the two-stage NL2SQL pipeline (with a rule-based fallback so it runs without an LLM API key, and a ready-to-enable Claude integration for production use), the SQL safety guard, score cards with period/YoY comparison, trend and bar charts, and CSV/Excel export — backed by a small seeded SQLite database that mirrors the campaigns/adsets/ECD-code data model described in Section 4. It also includes a React/TypeScript/Vite frontend implementing the chat interface and dashboard rendering described in Sections 3.1 and 6. Both halves have been run and verified end to end, including a check that a deliberately malicious-looking prompt (containing “drop table”) cannot reach the database as a write.</w:t>
      </w:r>
    </w:p>
    <w:p>
      <w:pPr>
        <w:spacing w:after="160"/>
      </w:pPr>
      <w:r>
        <w:t xml:space="preserve">This implementation is deployed as a pilot and reachable at a public URL: the frontend is hosted on Vercel, the backend on Render (free tier), and the source lives in a GitHub repository that both platforms deploy from. This lets anyone with the link try the chat-to-dashboard flow today without installing anything locally. Section 12 covers what changes before this pilot deployment is ready for a wider or production rollout.</w:t>
      </w:r>
    </w:p>
    <w:p>
      <w:pPr>
        <w:pStyle w:val="Heading1"/>
        <w:spacing w:after="160" w:before="360"/>
      </w:pPr>
      <w:r>
        <w:t xml:space="preserve">11. Open Questions for Stakeholders</w:t>
      </w:r>
    </w:p>
    <w:p>
      <w:pPr>
        <w:spacing w:after="160"/>
      </w:pPr>
      <w:r>
        <w:t xml:space="preserve">A few decisions are best made with the teams who own the source data and the eventual platform, rather than assumed in this document: which LLM provider and model to standardize on and what the expected per-query cost and latency budget is; who owns and can modify the metric/dimension registry as new platforms or KPIs are added; what the exact revenue formula should be if it differs from conversions × CPV; how far back historical ECD-code coverage goes, since older campaigns may not have consistent codes; and which identity provider and row-level access rules should govern who can see which campaigns' data.</w:t>
      </w:r>
    </w:p>
    <w:p>
      <w:pPr>
        <w:pStyle w:val="Heading1"/>
        <w:spacing w:after="160" w:before="360"/>
      </w:pPr>
      <w:r>
        <w:t xml:space="preserve">12. Current Deployment Status and Path to Production</w:t>
      </w:r>
    </w:p>
    <w:p>
      <w:pPr>
        <w:spacing w:after="160"/>
      </w:pPr>
      <w:r>
        <w:t xml:space="preserve">As of this revision, the pilot described in Section 10 is live and has been verified working end to end, including the score card, trend line, and comparison features described in Section 6. This section records what the pilot deployment does and does not yet include, so it isn't mistaken for a production-ready rollout.</w:t>
      </w:r>
    </w:p>
    <w:p>
      <w:pPr>
        <w:spacing w:after="160"/>
      </w:pPr>
      <w:r>
        <w:t xml:space="preserve">What the pilot includes: a public URL reachable from any device; the full chat-to-SQL-to-dashboard pipeline running against the sample database described in Section 4; CSV/Excel export; and the SQL safety guard described in Section 3.4 and Section 8, verified against an injection-style prompt.</w:t>
      </w:r>
    </w:p>
    <w:p>
      <w:pPr>
        <w:spacing w:after="160"/>
      </w:pPr>
      <w:r>
        <w:t xml:space="preserve">What the pilot does not yet include, and would need to be addressed before a production rollout: the backend is deployed from a public Git repository URL rather than a GitHub-connected Render service, which means it does not auto-deploy on every push and instead requires a manual redeploy trigger; both the backend and frontend run on free hosting tiers, which impose cold-start delays after periods of inactivity and are not intended for guaranteed uptime; the database is still the seeded sample SQLite file described in Section 4, not the real warehouse; there is no authentication in front of the chat interface, so the public URL should be treated as a demo link rather than a way to share real business data; and the LLM integration is optional and only active when an API key is supplied, otherwise falling back to the more limited keyword-based parser described in Section 3.4.</w:t>
      </w:r>
    </w:p>
    <w:p>
      <w:pPr>
        <w:spacing w:after="160"/>
      </w:pPr>
      <w:r>
        <w:t xml:space="preserve">None of this is a problem for the pilot's purpose — letting stakeholders try the concept without any local setup — but it is the checklist to work through alongside the phased rollout plan in Section 9 before this becomes the system of record for daily reporting.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2026-07-29T19:21:31.028Z</dcterms:created>
  <dcterms:modified xsi:type="dcterms:W3CDTF">2026-07-29T19:21:31.028Z</dcterms:modified>
</cp:coreProperties>
</file>

<file path=docProps/custom.xml><?xml version="1.0" encoding="utf-8"?>
<Properties xmlns="http://schemas.openxmlformats.org/officeDocument/2006/custom-properties" xmlns:vt="http://schemas.openxmlformats.org/officeDocument/2006/docPropsVTypes"/>
</file>