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Case: Building the Tiffany Webb Brand</w:t>
      </w:r>
    </w:p>
    <w:p>
      <w:r>
        <w:rPr>
          <w:b/>
        </w:rPr>
        <w:t>Executive Summary</w:t>
      </w:r>
    </w:p>
    <w:p>
      <w:r>
        <w:t>Tiffany Webb has established credibility in public health, prevention, community engagement, nonprofit leadership, and strategic outreach. Rather than positioning herself solely as a gambling prevention professional, the opportunity is to build a scalable personal brand that serves as the umbrella for speaking, consulting, training, books, and mission-driven ventures such as GambleFreeGear and GambleFree Friends.</w:t>
      </w:r>
    </w:p>
    <w:p>
      <w:pPr>
        <w:pStyle w:val="Heading2"/>
      </w:pPr>
      <w:r>
        <w:t>Problem Statement</w:t>
      </w:r>
    </w:p>
    <w:p>
      <w:r>
        <w:t>Organizations often struggle with community engagement, translating research into action, building sustainable outreach systems, engaging diverse communities authentically, and finding speakers who combine lived experience with implementation.</w:t>
      </w:r>
    </w:p>
    <w:p>
      <w:pPr>
        <w:pStyle w:val="Heading2"/>
      </w:pPr>
      <w:r>
        <w:t>Proposed Solution</w:t>
      </w:r>
    </w:p>
    <w:p>
      <w:r>
        <w:t>Develop Tiffany Webb into a nationally recognized Community Impact Strategist who helps organizations design, implement, and improve community engagement, prevention, and outreach initiatives through consulting, speaking, training, and educational resources.</w:t>
      </w:r>
    </w:p>
    <w:p>
      <w:pPr>
        <w:pStyle w:val="Heading2"/>
      </w:pPr>
      <w:r>
        <w:t>Market Opportunity</w:t>
      </w:r>
    </w:p>
    <w:p>
      <w:r>
        <w:t>Primary audiences include nonprofit organizations, healthcare systems, government agencies, public health organizations, schools and universities, community coalitions, foundations, behavioral health providers, and corporate social responsibility teams.</w:t>
      </w:r>
    </w:p>
    <w:p>
      <w:pPr>
        <w:pStyle w:val="Heading2"/>
      </w:pPr>
      <w:r>
        <w:t>Competitive Analysis</w:t>
      </w:r>
    </w:p>
    <w:p>
      <w:r>
        <w:t>Reference brands include Brené Brown, Cheryl Jackson, Kelly Fair, Dan Pallotta, and Simon Sinek.</w:t>
      </w:r>
    </w:p>
    <w:p>
      <w:pPr>
        <w:pStyle w:val="Heading2"/>
      </w:pPr>
      <w:r>
        <w:t>Competitive Advantage</w:t>
      </w:r>
    </w:p>
    <w:p>
      <w:r>
        <w:t>Tiffany Webb combines public health expertise, community outreach leadership, prevention experience, strategic systems thinking, storytelling, brand development, and practical implementation.</w:t>
      </w:r>
    </w:p>
    <w:p>
      <w:pPr>
        <w:pStyle w:val="Heading2"/>
      </w:pPr>
      <w:r>
        <w:t>Business Model</w:t>
      </w:r>
    </w:p>
    <w:p>
      <w:r>
        <w:t>Free: articles, social media, podcast, newsletter.</w:t>
        <w:br/>
        <w:t>Low Cost: books, playbooks, templates.</w:t>
        <w:br/>
        <w:t>Mid-Tier: workshops, online courses, group training.</w:t>
        <w:br/>
        <w:t>High Value: keynote speaking, consulting, program design, executive advising.</w:t>
      </w:r>
    </w:p>
    <w:p>
      <w:pPr>
        <w:pStyle w:val="Heading2"/>
      </w:pPr>
      <w:r>
        <w:t>Brand Architecture</w:t>
      </w:r>
    </w:p>
    <w:p>
      <w:r>
        <w:t>Tiffany Webb</w:t>
        <w:br/>
        <w:t>- Speaking</w:t>
        <w:br/>
        <w:t>- Consulting</w:t>
        <w:br/>
        <w:t>- Training Academy</w:t>
        <w:br/>
        <w:t>- Books</w:t>
        <w:br/>
        <w:t>- Podcast</w:t>
        <w:br/>
        <w:t>- GambleFreeGear</w:t>
        <w:br/>
        <w:t>- GambleFree Friends</w:t>
        <w:br/>
        <w:t>- The Nonprofit Hustle</w:t>
      </w:r>
    </w:p>
    <w:p>
      <w:pPr>
        <w:pStyle w:val="Heading2"/>
      </w:pPr>
      <w:r>
        <w:t>Expected Outcomes</w:t>
      </w:r>
    </w:p>
    <w:p>
      <w:r>
        <w:t>Year 1: Launch website, keynote, flagship resource, email list, paid speaking.</w:t>
        <w:br/>
        <w:t>Years 2–3: National conferences, consulting, online learning, books, partnerships.</w:t>
        <w:br/>
        <w:t>Years 4–5: National recognition, enterprise consulting, leadership academy, consulting team.</w:t>
      </w:r>
    </w:p>
    <w:p>
      <w:pPr>
        <w:pStyle w:val="Heading2"/>
      </w:pPr>
      <w:r>
        <w:t>Success Metrics</w:t>
      </w:r>
    </w:p>
    <w:p>
      <w:r>
        <w:t>Website traffic, email subscribers, speaking invitations, consulting revenue, workshop participation, book sales, partnerships, media features, and community impact outcomes.</w:t>
      </w:r>
    </w:p>
    <w:p>
      <w:pPr>
        <w:pStyle w:val="Heading2"/>
      </w:pPr>
      <w:r>
        <w:t>Strategic Recommendation</w:t>
      </w:r>
    </w:p>
    <w:p>
      <w:r>
        <w:t>Position Tiffany Webb as the umbrella brand supporting all current and future initiatives while allowing individual brands to maintain their identities.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