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GambleFreeGear Media &amp; Press Kit</w:t>
      </w:r>
    </w:p>
    <w:p>
      <w:r>
        <w:t>GambleFreeGear welcomes opportunities to collaborate with media, prevention organizations, and community partners to expand awareness about gambling harm.</w:t>
      </w:r>
    </w:p>
    <w:p>
      <w:r>
        <w:t>Media Opportunities</w:t>
        <w:br/>
        <w:t>GambleFreeGear may participate in:</w:t>
        <w:br/>
        <w:t>• interviews and podcasts</w:t>
        <w:br/>
        <w:t>• prevention awareness campaigns</w:t>
        <w:br/>
        <w:t>• conference presentations</w:t>
        <w:br/>
        <w:t>• community education events</w:t>
        <w:br/>
        <w:t>• social impact collaborations</w:t>
      </w:r>
    </w:p>
    <w:p>
      <w:r>
        <w:t>Topics We Speak On</w:t>
        <w:br/>
        <w:t>• gambling prevention and early intervention</w:t>
        <w:br/>
        <w:t>• community outreach strategies</w:t>
        <w:br/>
        <w:t>• stigma reduction</w:t>
        <w:br/>
        <w:t>• recovery and resilience</w:t>
        <w:br/>
        <w:t>• innovative prevention tools</w:t>
      </w:r>
    </w:p>
    <w:p>
      <w:r>
        <w:t>Media Contact</w:t>
        <w:br/>
        <w:t>For collaboration opportunities, media inquiries, or partnership discussions, organizations may contact GambleFreeGear through official website or social media channels.</w:t>
      </w:r>
    </w:p>
    <w:p>
      <w:r>
        <w:t>Available Assets</w:t>
        <w:br/>
        <w:t>Media and partners may request:</w:t>
        <w:br/>
        <w:t>• brand overview materials</w:t>
        <w:br/>
        <w:t>• apparel images</w:t>
        <w:br/>
        <w:t>• campaign visuals</w:t>
        <w:br/>
        <w:t>• prevention messaging graphics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