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666666"/>
          <w:sz w:val="26"/>
        </w:rPr>
        <w:t>TIFFANY WEBB</w:t>
      </w:r>
    </w:p>
    <w:p>
      <w:pPr>
        <w:pStyle w:val="Title"/>
        <w:jc w:val="center"/>
      </w:pPr>
      <w:r>
        <w:t>Updated Ways to Work With Me Guide</w:t>
      </w:r>
    </w:p>
    <w:p>
      <w:pPr>
        <w:jc w:val="center"/>
      </w:pPr>
      <w:r>
        <w:rPr>
          <w:sz w:val="28"/>
        </w:rPr>
        <w:t>Website Content Questionnaire - Section 05</w:t>
      </w:r>
    </w:p>
    <w:p>
      <w:pPr>
        <w:jc w:val="center"/>
      </w:pPr>
      <w:r>
        <w:rPr>
          <w:color w:val="666666"/>
          <w:sz w:val="20"/>
        </w:rPr>
        <w:t>Formats, not topics | Booking pathway | National + community reach</w:t>
      </w:r>
    </w:p>
    <w:p/>
    <w:tbl>
      <w:tblPr>
        <w:tblW w:type="auto" w:w="0"/>
        <w:jc w:val="center"/>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Purpose: Help organizers choose how they want to work with Tiffany before choosing a subject. The website should make the booking pathway simple: Format -&gt; Topic -&gt; Audience -&gt; Inquiry.</w:t>
            </w:r>
          </w:p>
        </w:tc>
      </w:tr>
    </w:tbl>
    <w:p>
      <w:r>
        <w:br w:type="page"/>
      </w:r>
    </w:p>
    <w:p>
      <w:pPr>
        <w:pStyle w:val="Heading1"/>
      </w:pPr>
      <w:r>
        <w:t>1. Section Purpose</w:t>
      </w:r>
    </w:p>
    <w:p>
      <w:r>
        <w:t>Organizers often shop by format first and subject second. They may already know they need a 45-minute breakout, staff training, youth program, webinar, or keynote before deciding what the session should cover. This section should therefore present Tiffany's delivery formats separately from her speaking topics.</w:t>
      </w:r>
    </w:p>
    <w:p>
      <w:pPr>
        <w:pStyle w:val="Heading1"/>
      </w:pPr>
      <w:r>
        <w:t>2. Section 5.1 - Six Main Formats</w:t>
      </w:r>
    </w:p>
    <w:p>
      <w:pPr>
        <w:pStyle w:val="Heading2"/>
      </w:pPr>
      <w:r>
        <w:t>Recommendation: KEEP ALL SIX, with slight naming refinements.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5B2A86"/>
          </w:tcPr>
          <w:p>
            <w:pPr>
              <w:spacing w:after="0"/>
            </w:pPr>
            <w:r/>
            <w:r>
              <w:rPr>
                <w:rFonts w:ascii="Aptos" w:hAnsi="Aptos"/>
                <w:b/>
                <w:color w:val="FFFFFF"/>
                <w:sz w:val="17"/>
              </w:rPr>
              <w:t>#</w:t>
            </w:r>
          </w:p>
        </w:tc>
        <w:tc>
          <w:tcPr>
            <w:tcW w:type="dxa" w:w="3408"/>
            <w:vAlign w:val="center"/>
            <w:shd w:fill="5B2A86"/>
          </w:tcPr>
          <w:p>
            <w:pPr>
              <w:spacing w:after="0"/>
            </w:pPr>
            <w:r/>
            <w:r>
              <w:rPr>
                <w:rFonts w:ascii="Aptos" w:hAnsi="Aptos"/>
                <w:b/>
                <w:color w:val="FFFFFF"/>
                <w:sz w:val="17"/>
              </w:rPr>
              <w:t>WEBSITE CARD</w:t>
            </w:r>
          </w:p>
        </w:tc>
        <w:tc>
          <w:tcPr>
            <w:tcW w:type="dxa" w:w="3408"/>
            <w:vAlign w:val="center"/>
            <w:shd w:fill="5B2A86"/>
          </w:tcPr>
          <w:p>
            <w:pPr>
              <w:spacing w:after="0"/>
            </w:pPr>
            <w:r/>
            <w:r>
              <w:rPr>
                <w:rFonts w:ascii="Aptos" w:hAnsi="Aptos"/>
                <w:b/>
                <w:color w:val="FFFFFF"/>
                <w:sz w:val="17"/>
              </w:rPr>
              <w:t>WHAT IT COMMUNICATES</w:t>
            </w:r>
          </w:p>
        </w:tc>
      </w:tr>
      <w:tr>
        <w:trPr>
          <w:cantSplit/>
        </w:trPr>
        <w:tc>
          <w:tcPr>
            <w:tcW w:type="dxa" w:w="3408"/>
            <w:vAlign w:val="center"/>
          </w:tcPr>
          <w:p>
            <w:pPr>
              <w:spacing w:after="0"/>
              <w:jc w:val="center"/>
            </w:pPr>
            <w:r/>
            <w:r>
              <w:rPr>
                <w:rFonts w:ascii="Aptos" w:hAnsi="Aptos"/>
                <w:b w:val="0"/>
                <w:color w:val="222222"/>
                <w:sz w:val="17"/>
              </w:rPr>
              <w:t>1</w:t>
            </w:r>
          </w:p>
        </w:tc>
        <w:tc>
          <w:tcPr>
            <w:tcW w:type="dxa" w:w="3408"/>
            <w:vAlign w:val="center"/>
          </w:tcPr>
          <w:p>
            <w:pPr>
              <w:spacing w:after="0"/>
            </w:pPr>
            <w:r/>
            <w:r>
              <w:rPr>
                <w:rFonts w:ascii="Aptos" w:hAnsi="Aptos"/>
                <w:b/>
                <w:color w:val="222222"/>
                <w:sz w:val="17"/>
              </w:rPr>
              <w:t>Keynote Speaking</w:t>
            </w:r>
          </w:p>
        </w:tc>
        <w:tc>
          <w:tcPr>
            <w:tcW w:type="dxa" w:w="3408"/>
            <w:vAlign w:val="center"/>
          </w:tcPr>
          <w:p>
            <w:pPr>
              <w:spacing w:after="0"/>
            </w:pPr>
            <w:r/>
            <w:r>
              <w:rPr>
                <w:rFonts w:ascii="Aptos" w:hAnsi="Aptos"/>
                <w:b w:val="0"/>
                <w:color w:val="222222"/>
                <w:sz w:val="17"/>
              </w:rPr>
              <w:t>Signature talks for conferences, summits, organizations, and major events.</w:t>
            </w:r>
          </w:p>
        </w:tc>
      </w:tr>
      <w:tr>
        <w:trPr>
          <w:cantSplit/>
        </w:trPr>
        <w:tc>
          <w:tcPr>
            <w:tcW w:type="dxa" w:w="3408"/>
            <w:vAlign w:val="center"/>
          </w:tcPr>
          <w:p>
            <w:pPr>
              <w:spacing w:after="0"/>
              <w:jc w:val="center"/>
            </w:pPr>
            <w:r/>
            <w:r>
              <w:rPr>
                <w:rFonts w:ascii="Aptos" w:hAnsi="Aptos"/>
                <w:b w:val="0"/>
                <w:color w:val="222222"/>
                <w:sz w:val="17"/>
              </w:rPr>
              <w:t>2</w:t>
            </w:r>
          </w:p>
        </w:tc>
        <w:tc>
          <w:tcPr>
            <w:tcW w:type="dxa" w:w="3408"/>
            <w:vAlign w:val="center"/>
          </w:tcPr>
          <w:p>
            <w:pPr>
              <w:spacing w:after="0"/>
            </w:pPr>
            <w:r/>
            <w:r>
              <w:rPr>
                <w:rFonts w:ascii="Aptos" w:hAnsi="Aptos"/>
                <w:b/>
                <w:color w:val="222222"/>
                <w:sz w:val="17"/>
              </w:rPr>
              <w:t>Conference &amp; Breakout Sessions</w:t>
            </w:r>
          </w:p>
        </w:tc>
        <w:tc>
          <w:tcPr>
            <w:tcW w:type="dxa" w:w="3408"/>
            <w:vAlign w:val="center"/>
          </w:tcPr>
          <w:p>
            <w:pPr>
              <w:spacing w:after="0"/>
            </w:pPr>
            <w:r/>
            <w:r>
              <w:rPr>
                <w:rFonts w:ascii="Aptos" w:hAnsi="Aptos"/>
                <w:b w:val="0"/>
                <w:color w:val="222222"/>
                <w:sz w:val="17"/>
              </w:rPr>
              <w:t>Focused 30-90 minute conference sessions built around a specific topic or learning objective.</w:t>
            </w:r>
          </w:p>
        </w:tc>
      </w:tr>
      <w:tr>
        <w:trPr>
          <w:cantSplit/>
        </w:trPr>
        <w:tc>
          <w:tcPr>
            <w:tcW w:type="dxa" w:w="3408"/>
            <w:vAlign w:val="center"/>
          </w:tcPr>
          <w:p>
            <w:pPr>
              <w:spacing w:after="0"/>
              <w:jc w:val="center"/>
            </w:pPr>
            <w:r/>
            <w:r>
              <w:rPr>
                <w:rFonts w:ascii="Aptos" w:hAnsi="Aptos"/>
                <w:b w:val="0"/>
                <w:color w:val="222222"/>
                <w:sz w:val="17"/>
              </w:rPr>
              <w:t>3</w:t>
            </w:r>
          </w:p>
        </w:tc>
        <w:tc>
          <w:tcPr>
            <w:tcW w:type="dxa" w:w="3408"/>
            <w:vAlign w:val="center"/>
          </w:tcPr>
          <w:p>
            <w:pPr>
              <w:spacing w:after="0"/>
            </w:pPr>
            <w:r/>
            <w:r>
              <w:rPr>
                <w:rFonts w:ascii="Aptos" w:hAnsi="Aptos"/>
                <w:b/>
                <w:color w:val="222222"/>
                <w:sz w:val="17"/>
              </w:rPr>
              <w:t>Panels &amp; Moderated Conversations</w:t>
            </w:r>
          </w:p>
        </w:tc>
        <w:tc>
          <w:tcPr>
            <w:tcW w:type="dxa" w:w="3408"/>
            <w:vAlign w:val="center"/>
          </w:tcPr>
          <w:p>
            <w:pPr>
              <w:spacing w:after="0"/>
            </w:pPr>
            <w:r/>
            <w:r>
              <w:rPr>
                <w:rFonts w:ascii="Aptos" w:hAnsi="Aptos"/>
                <w:b w:val="0"/>
                <w:color w:val="222222"/>
                <w:sz w:val="17"/>
              </w:rPr>
              <w:t>Panel participation, expert discussions, fireside chats, and moderated conversations.</w:t>
            </w:r>
          </w:p>
        </w:tc>
      </w:tr>
      <w:tr>
        <w:trPr>
          <w:cantSplit/>
        </w:trPr>
        <w:tc>
          <w:tcPr>
            <w:tcW w:type="dxa" w:w="3408"/>
            <w:vAlign w:val="center"/>
          </w:tcPr>
          <w:p>
            <w:pPr>
              <w:spacing w:after="0"/>
              <w:jc w:val="center"/>
            </w:pPr>
            <w:r/>
            <w:r>
              <w:rPr>
                <w:rFonts w:ascii="Aptos" w:hAnsi="Aptos"/>
                <w:b w:val="0"/>
                <w:color w:val="222222"/>
                <w:sz w:val="17"/>
              </w:rPr>
              <w:t>4</w:t>
            </w:r>
          </w:p>
        </w:tc>
        <w:tc>
          <w:tcPr>
            <w:tcW w:type="dxa" w:w="3408"/>
            <w:vAlign w:val="center"/>
          </w:tcPr>
          <w:p>
            <w:pPr>
              <w:spacing w:after="0"/>
            </w:pPr>
            <w:r/>
            <w:r>
              <w:rPr>
                <w:rFonts w:ascii="Aptos" w:hAnsi="Aptos"/>
                <w:b/>
                <w:color w:val="222222"/>
                <w:sz w:val="17"/>
              </w:rPr>
              <w:t>Interactive Workshops</w:t>
            </w:r>
          </w:p>
        </w:tc>
        <w:tc>
          <w:tcPr>
            <w:tcW w:type="dxa" w:w="3408"/>
            <w:vAlign w:val="center"/>
          </w:tcPr>
          <w:p>
            <w:pPr>
              <w:spacing w:after="0"/>
            </w:pPr>
            <w:r/>
            <w:r>
              <w:rPr>
                <w:rFonts w:ascii="Aptos" w:hAnsi="Aptos"/>
                <w:b w:val="0"/>
                <w:color w:val="222222"/>
                <w:sz w:val="17"/>
              </w:rPr>
              <w:t>Hands-on sessions where participants learn, discuss, plan, practice, or create.</w:t>
            </w:r>
          </w:p>
        </w:tc>
      </w:tr>
      <w:tr>
        <w:trPr>
          <w:cantSplit/>
        </w:trPr>
        <w:tc>
          <w:tcPr>
            <w:tcW w:type="dxa" w:w="3408"/>
            <w:vAlign w:val="center"/>
          </w:tcPr>
          <w:p>
            <w:pPr>
              <w:spacing w:after="0"/>
              <w:jc w:val="center"/>
            </w:pPr>
            <w:r/>
            <w:r>
              <w:rPr>
                <w:rFonts w:ascii="Aptos" w:hAnsi="Aptos"/>
                <w:b w:val="0"/>
                <w:color w:val="222222"/>
                <w:sz w:val="17"/>
              </w:rPr>
              <w:t>5</w:t>
            </w:r>
          </w:p>
        </w:tc>
        <w:tc>
          <w:tcPr>
            <w:tcW w:type="dxa" w:w="3408"/>
            <w:vAlign w:val="center"/>
          </w:tcPr>
          <w:p>
            <w:pPr>
              <w:spacing w:after="0"/>
            </w:pPr>
            <w:r/>
            <w:r>
              <w:rPr>
                <w:rFonts w:ascii="Aptos" w:hAnsi="Aptos"/>
                <w:b/>
                <w:color w:val="222222"/>
                <w:sz w:val="17"/>
              </w:rPr>
              <w:t>School, University &amp; Youth Programs</w:t>
            </w:r>
          </w:p>
        </w:tc>
        <w:tc>
          <w:tcPr>
            <w:tcW w:type="dxa" w:w="3408"/>
            <w:vAlign w:val="center"/>
          </w:tcPr>
          <w:p>
            <w:pPr>
              <w:spacing w:after="0"/>
            </w:pPr>
            <w:r/>
            <w:r>
              <w:rPr>
                <w:rFonts w:ascii="Aptos" w:hAnsi="Aptos"/>
                <w:b w:val="0"/>
                <w:color w:val="222222"/>
                <w:sz w:val="17"/>
              </w:rPr>
              <w:t>Age-appropriate prevention, awareness, leadership, and engagement experiences for young people and educational settings.</w:t>
            </w:r>
          </w:p>
        </w:tc>
      </w:tr>
      <w:tr>
        <w:trPr>
          <w:cantSplit/>
        </w:trPr>
        <w:tc>
          <w:tcPr>
            <w:tcW w:type="dxa" w:w="3408"/>
            <w:vAlign w:val="center"/>
          </w:tcPr>
          <w:p>
            <w:pPr>
              <w:spacing w:after="0"/>
              <w:jc w:val="center"/>
            </w:pPr>
            <w:r/>
            <w:r>
              <w:rPr>
                <w:rFonts w:ascii="Aptos" w:hAnsi="Aptos"/>
                <w:b w:val="0"/>
                <w:color w:val="222222"/>
                <w:sz w:val="17"/>
              </w:rPr>
              <w:t>6</w:t>
            </w:r>
          </w:p>
        </w:tc>
        <w:tc>
          <w:tcPr>
            <w:tcW w:type="dxa" w:w="3408"/>
            <w:vAlign w:val="center"/>
          </w:tcPr>
          <w:p>
            <w:pPr>
              <w:spacing w:after="0"/>
            </w:pPr>
            <w:r/>
            <w:r>
              <w:rPr>
                <w:rFonts w:ascii="Aptos" w:hAnsi="Aptos"/>
                <w:b/>
                <w:color w:val="222222"/>
                <w:sz w:val="17"/>
              </w:rPr>
              <w:t>Professional Training</w:t>
            </w:r>
          </w:p>
        </w:tc>
        <w:tc>
          <w:tcPr>
            <w:tcW w:type="dxa" w:w="3408"/>
            <w:vAlign w:val="center"/>
          </w:tcPr>
          <w:p>
            <w:pPr>
              <w:spacing w:after="0"/>
            </w:pPr>
            <w:r/>
            <w:r>
              <w:rPr>
                <w:rFonts w:ascii="Aptos" w:hAnsi="Aptos"/>
                <w:b w:val="0"/>
                <w:color w:val="222222"/>
                <w:sz w:val="17"/>
              </w:rPr>
              <w:t>Skill-building sessions for prevention professionals, behavioral-health teams, organizations, and community partners.</w:t>
            </w:r>
          </w:p>
        </w:tc>
      </w:tr>
    </w:tbl>
    <w:p/>
    <w:p>
      <w:r>
        <w:rPr>
          <w:b/>
        </w:rPr>
        <w:t xml:space="preserve">Naming note: </w:t>
      </w:r>
      <w:r>
        <w:t>Use “Professional Training” rather than simply “Training.” It more clearly signals a substantive service for professional and organizational audiences.</w:t>
      </w:r>
    </w:p>
    <w:p>
      <w:pPr>
        <w:pStyle w:val="Heading1"/>
      </w:pPr>
      <w:r>
        <w:t>3. Section 5.2 - Additional Ways to Work With Tiffany</w:t>
      </w:r>
    </w:p>
    <w:p>
      <w:r>
        <w:t>The questionnaire lists fourteen additional service types. Based on the intended breadth of the platform, all fourteen can be considered for inclusion. However, several overlap with the six main cards. To keep the website clean, the secondary line should avoid repeating services already represented above.</w:t>
      </w:r>
    </w:p>
    <w:p>
      <w:r>
        <w:rPr>
          <w:sz w:val="20"/>
        </w:rPr>
        <w:t xml:space="preserve">☑ Podcast guest   </w:t>
      </w:r>
      <w:r>
        <w:rPr>
          <w:sz w:val="20"/>
        </w:rPr>
        <w:t xml:space="preserve">☑ Media interviews   </w:t>
      </w:r>
      <w:r>
        <w:rPr>
          <w:sz w:val="20"/>
        </w:rPr>
        <w:t xml:space="preserve">☑ Webinars   </w:t>
      </w:r>
      <w:r>
        <w:rPr>
          <w:sz w:val="20"/>
        </w:rPr>
        <w:t xml:space="preserve">☑ Staff development   </w:t>
      </w:r>
      <w:r>
        <w:rPr>
          <w:sz w:val="20"/>
        </w:rPr>
        <w:t xml:space="preserve">☑ Professional training   </w:t>
      </w:r>
      <w:r>
        <w:rPr>
          <w:sz w:val="20"/>
        </w:rPr>
        <w:t xml:space="preserve">☑ Strategic planning   </w:t>
      </w:r>
      <w:r>
        <w:rPr>
          <w:sz w:val="20"/>
        </w:rPr>
        <w:t xml:space="preserve">☑ Coalition building   </w:t>
      </w:r>
      <w:r>
        <w:rPr>
          <w:sz w:val="20"/>
        </w:rPr>
        <w:t xml:space="preserve">☑ Community consultation   </w:t>
      </w:r>
      <w:r>
        <w:rPr>
          <w:sz w:val="20"/>
        </w:rPr>
        <w:t xml:space="preserve">☑ Community presentations   </w:t>
      </w:r>
      <w:r>
        <w:rPr>
          <w:sz w:val="20"/>
        </w:rPr>
        <w:t xml:space="preserve">☑ Youth programs   </w:t>
      </w:r>
      <w:r>
        <w:rPr>
          <w:sz w:val="20"/>
        </w:rPr>
        <w:t xml:space="preserve">☑ Breakout sessions   </w:t>
      </w:r>
      <w:r>
        <w:rPr>
          <w:sz w:val="20"/>
        </w:rPr>
        <w:t xml:space="preserve">☑ Panel moderation   </w:t>
      </w:r>
      <w:r>
        <w:rPr>
          <w:sz w:val="20"/>
        </w:rPr>
        <w:t xml:space="preserve">☑ Program design   </w:t>
      </w:r>
      <w:r>
        <w:rPr>
          <w:sz w:val="20"/>
        </w:rPr>
        <w:t xml:space="preserve">☑ Curriculum development   </w:t>
      </w:r>
    </w:p>
    <w:p>
      <w:pPr>
        <w:pStyle w:val="Heading1"/>
      </w:pPr>
      <w:r>
        <w:t>4. Recommended Website Secondary Line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Also available for: Podcast Guest Appearances · Media Interviews · Webinars · Staff Development · Strategic Planning · Coalition Building · Community Consultation · Community Presentations · Panel Moderation · Program Design · Curriculum Development</w:t>
            </w:r>
          </w:p>
        </w:tc>
      </w:tr>
    </w:tbl>
    <w:p>
      <w:r>
        <w:t>Professional Training, Youth Programs, and Breakout Sessions are intentionally omitted from this secondary line because they are already represented in the six primary format cards.</w:t>
      </w:r>
    </w:p>
    <w:p>
      <w:pPr>
        <w:pStyle w:val="Heading1"/>
      </w:pPr>
      <w:r>
        <w:t>5. Recommended Booking Journey</w:t>
      </w:r>
    </w:p>
    <w:p>
      <w:r>
        <w:t>Keep formats and topics separate. The format answers how Tiffany will engage the audience; the topic answers what the session will address.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5B2A86"/>
          </w:tcPr>
          <w:p>
            <w:pPr>
              <w:spacing w:after="0"/>
            </w:pPr>
            <w:r/>
            <w:r>
              <w:rPr>
                <w:rFonts w:ascii="Aptos" w:hAnsi="Aptos"/>
                <w:b/>
                <w:color w:val="FFFFFF"/>
                <w:sz w:val="18"/>
              </w:rPr>
              <w:t>1. FORMAT</w:t>
            </w:r>
          </w:p>
        </w:tc>
        <w:tc>
          <w:tcPr>
            <w:tcW w:type="dxa" w:w="2556"/>
            <w:vAlign w:val="center"/>
            <w:shd w:fill="5B2A86"/>
          </w:tcPr>
          <w:p>
            <w:pPr>
              <w:spacing w:after="0"/>
            </w:pPr>
            <w:r/>
            <w:r>
              <w:rPr>
                <w:rFonts w:ascii="Aptos" w:hAnsi="Aptos"/>
                <w:b/>
                <w:color w:val="FFFFFF"/>
                <w:sz w:val="18"/>
              </w:rPr>
              <w:t>2. TOPIC</w:t>
            </w:r>
          </w:p>
        </w:tc>
        <w:tc>
          <w:tcPr>
            <w:tcW w:type="dxa" w:w="2556"/>
            <w:vAlign w:val="center"/>
            <w:shd w:fill="5B2A86"/>
          </w:tcPr>
          <w:p>
            <w:pPr>
              <w:spacing w:after="0"/>
            </w:pPr>
            <w:r/>
            <w:r>
              <w:rPr>
                <w:rFonts w:ascii="Aptos" w:hAnsi="Aptos"/>
                <w:b/>
                <w:color w:val="FFFFFF"/>
                <w:sz w:val="18"/>
              </w:rPr>
              <w:t>3. AUDIENCE</w:t>
            </w:r>
          </w:p>
        </w:tc>
        <w:tc>
          <w:tcPr>
            <w:tcW w:type="dxa" w:w="2556"/>
            <w:vAlign w:val="center"/>
            <w:shd w:fill="5B2A86"/>
          </w:tcPr>
          <w:p>
            <w:pPr>
              <w:spacing w:after="0"/>
            </w:pPr>
            <w:r/>
            <w:r>
              <w:rPr>
                <w:rFonts w:ascii="Aptos" w:hAnsi="Aptos"/>
                <w:b/>
                <w:color w:val="FFFFFF"/>
                <w:sz w:val="18"/>
              </w:rPr>
              <w:t>4. INQUIRY</w:t>
            </w:r>
          </w:p>
        </w:tc>
      </w:tr>
      <w:tr>
        <w:trPr>
          <w:cantSplit/>
        </w:trPr>
        <w:tc>
          <w:tcPr>
            <w:tcW w:type="dxa" w:w="2556"/>
            <w:vAlign w:val="center"/>
          </w:tcPr>
          <w:p>
            <w:pPr>
              <w:spacing w:after="0"/>
            </w:pPr>
            <w:r/>
            <w:r>
              <w:rPr>
                <w:rFonts w:ascii="Aptos" w:hAnsi="Aptos"/>
                <w:b w:val="0"/>
                <w:color w:val="222222"/>
                <w:sz w:val="17"/>
              </w:rPr>
              <w:t>Interactive Workshop</w:t>
            </w:r>
          </w:p>
        </w:tc>
        <w:tc>
          <w:tcPr>
            <w:tcW w:type="dxa" w:w="2556"/>
            <w:vAlign w:val="center"/>
          </w:tcPr>
          <w:p>
            <w:pPr>
              <w:spacing w:after="0"/>
            </w:pPr>
            <w:r/>
            <w:r>
              <w:rPr>
                <w:rFonts w:ascii="Aptos" w:hAnsi="Aptos"/>
                <w:b w:val="0"/>
                <w:color w:val="222222"/>
                <w:sz w:val="17"/>
              </w:rPr>
              <w:t>The 8 Touchpoints to Engagement</w:t>
            </w:r>
          </w:p>
        </w:tc>
        <w:tc>
          <w:tcPr>
            <w:tcW w:type="dxa" w:w="2556"/>
            <w:vAlign w:val="center"/>
          </w:tcPr>
          <w:p>
            <w:pPr>
              <w:spacing w:after="0"/>
            </w:pPr>
            <w:r/>
            <w:r>
              <w:rPr>
                <w:rFonts w:ascii="Aptos" w:hAnsi="Aptos"/>
                <w:b w:val="0"/>
                <w:color w:val="222222"/>
                <w:sz w:val="17"/>
              </w:rPr>
              <w:t>Prevention Professionals</w:t>
            </w:r>
          </w:p>
        </w:tc>
        <w:tc>
          <w:tcPr>
            <w:tcW w:type="dxa" w:w="2556"/>
            <w:vAlign w:val="center"/>
          </w:tcPr>
          <w:p>
            <w:pPr>
              <w:spacing w:after="0"/>
            </w:pPr>
            <w:r/>
            <w:r>
              <w:rPr>
                <w:rFonts w:ascii="Aptos" w:hAnsi="Aptos"/>
                <w:b w:val="0"/>
                <w:color w:val="222222"/>
                <w:sz w:val="17"/>
              </w:rPr>
              <w:t>Invite Tiffany / Start a Conversation</w:t>
            </w:r>
          </w:p>
        </w:tc>
      </w:tr>
    </w:tbl>
    <w:p/>
    <w:p>
      <w:r>
        <w:t>Example: An organizer may know they need a 60-minute interactive workshop before selecting The 8 Touchpoints to Engagement. A school may first choose a youth program and then select Healthy Gaming &amp; Sports: Play Without the Bet.</w:t>
      </w:r>
    </w:p>
    <w:p>
      <w:pPr>
        <w:pStyle w:val="Heading1"/>
      </w:pPr>
      <w:r>
        <w:t>6. Website Developer Direction</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Display six equal-height format cards. Replace the dollar-sign icon currently used on the Keynote card with a speaking, microphone, stage, or conversation-oriented icon. Under the cards, add one concise line for the additional services. Keep this section focused on delivery formats and services; do not mix the 20 speaking topics into these cards.</w:t>
            </w:r>
          </w:p>
        </w:tc>
      </w:tr>
    </w:tbl>
    <w:p>
      <w:pPr>
        <w:pStyle w:val="Heading1"/>
      </w:pPr>
      <w:r>
        <w:t>7. Recommended Card Order</w:t>
      </w:r>
    </w:p>
    <w:p>
      <w:pPr>
        <w:pStyle w:val="ListNumber"/>
      </w:pPr>
      <w:r>
        <w:t>Keynote Speaking</w:t>
      </w:r>
    </w:p>
    <w:p>
      <w:pPr>
        <w:pStyle w:val="ListNumber"/>
      </w:pPr>
      <w:r>
        <w:t>Conference &amp; Breakout Sessions</w:t>
      </w:r>
    </w:p>
    <w:p>
      <w:pPr>
        <w:pStyle w:val="ListNumber"/>
      </w:pPr>
      <w:r>
        <w:t>Interactive Workshops</w:t>
      </w:r>
    </w:p>
    <w:p>
      <w:pPr>
        <w:pStyle w:val="ListNumber"/>
      </w:pPr>
      <w:r>
        <w:t>Professional Training</w:t>
      </w:r>
    </w:p>
    <w:p>
      <w:pPr>
        <w:pStyle w:val="ListNumber"/>
      </w:pPr>
      <w:r>
        <w:t>School, University &amp; Youth Programs</w:t>
      </w:r>
    </w:p>
    <w:p>
      <w:pPr>
        <w:pStyle w:val="ListNumber"/>
      </w:pPr>
      <w:r>
        <w:t>Panels &amp; Moderated Conversations</w:t>
      </w:r>
    </w:p>
    <w:p>
      <w:pPr>
        <w:pStyle w:val="Heading1"/>
      </w:pPr>
      <w:r>
        <w:t>8. Content Verification Before Publishing</w:t>
      </w:r>
    </w:p>
    <w:p>
      <w:r>
        <w:t>The questionnaire identifies these service options, but the materials currently available for this guide do not independently verify that every one of the fourteen secondary services has already been delivered. Before the website goes live, distinguish between services Tiffany currently offers and capabilities she intends to begin offering.</w:t>
      </w:r>
    </w:p>
    <w:p>
      <w:pPr>
        <w:pStyle w:val="ListBullet"/>
      </w:pPr>
      <w:r>
        <w:t>Confirm which of the fourteen secondary services are currently active.</w:t>
      </w:r>
    </w:p>
    <w:p>
      <w:pPr>
        <w:pStyle w:val="ListBullet"/>
      </w:pPr>
      <w:r>
        <w:t>Confirm whether strategic planning, program design, and curriculum development are offered as standalone paid services or only within larger engagements.</w:t>
      </w:r>
    </w:p>
    <w:p>
      <w:pPr>
        <w:pStyle w:val="ListBullet"/>
      </w:pPr>
      <w:r>
        <w:t>Confirm whether panel moderation should be promoted separately from panel participation.</w:t>
      </w:r>
    </w:p>
    <w:p>
      <w:pPr>
        <w:pStyle w:val="ListBullet"/>
      </w:pPr>
      <w:r>
        <w:t>Confirm whether virtual delivery is available for webinars, trainings, workshops, and conference sessions.</w:t>
      </w:r>
    </w:p>
    <w:p>
      <w:pPr>
        <w:pStyle w:val="ListBullet"/>
      </w:pPr>
      <w:r>
        <w:t>Confirm typical length options for each of the six main formats.</w:t>
      </w:r>
    </w:p>
    <w:p>
      <w:pPr>
        <w:pStyle w:val="Heading1"/>
      </w:pPr>
      <w:r>
        <w:t>9. Final Recommended Website Copy</w:t>
      </w:r>
    </w:p>
    <w:p>
      <w:r>
        <w:rPr>
          <w:b/>
        </w:rPr>
        <w:t xml:space="preserve">Section heading: </w:t>
      </w:r>
      <w:r>
        <w:t>Ways to Work With Tiffany</w:t>
      </w:r>
    </w:p>
    <w:p>
      <w:r>
        <w:rPr>
          <w:b/>
        </w:rPr>
        <w:t xml:space="preserve">Supporting line: </w:t>
      </w:r>
      <w:r>
        <w:t>Choose the format that fits your audience, event, or organization—then build the conversation around the topic that matters most.</w:t>
      </w:r>
    </w:p>
    <w:p>
      <w:r>
        <w:rPr>
          <w:b/>
        </w:rPr>
        <w:t xml:space="preserve">CTA: </w:t>
      </w:r>
      <w:r>
        <w:t>Start a Conversation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Tiffany Webb | Updated Ways to Work With Me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5B2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