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666666"/>
          <w:sz w:val="26"/>
        </w:rPr>
        <w:t>TIFFANY WEBB</w:t>
      </w:r>
    </w:p>
    <w:p>
      <w:pPr>
        <w:pStyle w:val="Title"/>
        <w:jc w:val="center"/>
      </w:pPr>
      <w:r>
        <w:t>Updated Who You Work With</w:t>
        <w:br/>
        <w:t>Audience Guide</w:t>
      </w:r>
    </w:p>
    <w:p>
      <w:pPr>
        <w:jc w:val="center"/>
      </w:pPr>
      <w:r>
        <w:rPr>
          <w:sz w:val="28"/>
        </w:rPr>
        <w:t>Website Content Questionnaire - Section 06</w:t>
      </w:r>
    </w:p>
    <w:p>
      <w:pPr>
        <w:jc w:val="center"/>
      </w:pPr>
      <w:r>
        <w:rPr>
          <w:color w:val="666666"/>
          <w:sz w:val="20"/>
        </w:rPr>
        <w:t>Audience self-select | Clear positioning | Better booking pathways</w:t>
      </w:r>
    </w:p>
    <w:p/>
    <w:tbl>
      <w:tblPr>
        <w:tblW w:type="auto" w:w="0"/>
        <w:jc w:val="center"/>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Purpose: Help visitors quickly recognize whether Tiffany's work is relevant to their organization, community, event, or audience - and then guide them toward the right format, topic, and inquiry pathway.</w:t>
            </w:r>
          </w:p>
        </w:tc>
      </w:tr>
    </w:tbl>
    <w:p>
      <w:r>
        <w:br w:type="page"/>
      </w:r>
    </w:p>
    <w:p>
      <w:pPr>
        <w:pStyle w:val="Heading1"/>
      </w:pPr>
      <w:r>
        <w:t>1. Section Purpose</w:t>
      </w:r>
    </w:p>
    <w:p>
      <w:r>
        <w:t>This section should let visitors find themselves on the page. Rather than repeating audience lists under multiple headings, the website should use one clear audience self-select section that connects visitors to the most relevant ways to work with Tiffany and speaking topics.</w:t>
      </w:r>
    </w:p>
    <w:p>
      <w:pPr>
        <w:pStyle w:val="Heading1"/>
      </w:pPr>
      <w:r>
        <w:t>2. Section 6.1 - Audience Positioning Paragraph</w:t>
      </w:r>
    </w:p>
    <w:p>
      <w:pPr>
        <w:pStyle w:val="Heading2"/>
      </w:pPr>
      <w:r>
        <w:t>Recommendation: KEEP THE IDEA, WITH A SMALL EDIT.</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1"/>
              </w:rPr>
              <w:t>Communities most affected by gambling harm can also be among the hardest for traditional prevention efforts to reach. Tiffany's work is built to help close that gap - with cultural fluency, frontline experience, creativity, and evidence-informed strategies that make prevention easier to understand, access, and act on.</w:t>
            </w:r>
          </w:p>
        </w:tc>
      </w:tr>
    </w:tbl>
    <w:p>
      <w:r>
        <w:t>Why edit it: The revised language keeps the strength of the original statement while avoiding an overly absolute claim. It also adds creativity, which better reflects the broader platform and the use of youth engagement, storytelling, art, apparel, community activation, and other approaches to prevention.</w:t>
      </w:r>
    </w:p>
    <w:p>
      <w:pPr>
        <w:pStyle w:val="Heading1"/>
      </w:pPr>
      <w:r>
        <w:t>3. Section 6.2 - Confirm the Audiences</w:t>
      </w:r>
    </w:p>
    <w:p>
      <w:r>
        <w:t>Questionnaire note: The current questionnaire says 'confirm the eleven,' but thirteen audience options are actually listed.</w:t>
      </w:r>
    </w:p>
    <w:p>
      <w:r>
        <w:rPr>
          <w:sz w:val="20"/>
        </w:rPr>
        <w:t xml:space="preserve">☑ Conferences   </w:t>
      </w:r>
      <w:r>
        <w:rPr>
          <w:sz w:val="20"/>
        </w:rPr>
        <w:t xml:space="preserve">☑ Schools   </w:t>
      </w:r>
      <w:r>
        <w:rPr>
          <w:sz w:val="20"/>
        </w:rPr>
        <w:t xml:space="preserve">☑ Colleges &amp; universities   </w:t>
      </w:r>
      <w:r>
        <w:rPr>
          <w:sz w:val="20"/>
        </w:rPr>
        <w:t xml:space="preserve">☑ Healthcare systems   </w:t>
      </w:r>
      <w:r>
        <w:rPr>
          <w:sz w:val="20"/>
        </w:rPr>
        <w:t xml:space="preserve">☑ Hospitals   </w:t>
      </w:r>
      <w:r>
        <w:rPr>
          <w:sz w:val="20"/>
        </w:rPr>
        <w:t xml:space="preserve">☑ Government &amp; public health   </w:t>
      </w:r>
      <w:r>
        <w:rPr>
          <w:sz w:val="20"/>
        </w:rPr>
        <w:t xml:space="preserve">☑ Community organizations   </w:t>
      </w:r>
      <w:r>
        <w:rPr>
          <w:sz w:val="20"/>
        </w:rPr>
        <w:t xml:space="preserve">☑ Nonprofits   </w:t>
      </w:r>
      <w:r>
        <w:rPr>
          <w:sz w:val="20"/>
        </w:rPr>
        <w:t xml:space="preserve">☑ Behavioral health providers   </w:t>
      </w:r>
      <w:r>
        <w:rPr>
          <w:sz w:val="20"/>
        </w:rPr>
        <w:t xml:space="preserve">☑ Recovery networks   </w:t>
      </w:r>
      <w:r>
        <w:rPr>
          <w:sz w:val="20"/>
        </w:rPr>
        <w:t xml:space="preserve">☑ Faith communities   </w:t>
      </w:r>
      <w:r>
        <w:rPr>
          <w:sz w:val="20"/>
        </w:rPr>
        <w:t xml:space="preserve">☑ Conference organizers   </w:t>
      </w:r>
      <w:r>
        <w:rPr>
          <w:sz w:val="20"/>
        </w:rPr>
        <w:t xml:space="preserve">☑ Community coalitions   </w:t>
      </w:r>
    </w:p>
    <w:p>
      <w:pPr>
        <w:pStyle w:val="Heading2"/>
      </w:pPr>
      <w:r>
        <w:t>Recommended Public Website Audience Groups</w:t>
      </w:r>
    </w:p>
    <w:p>
      <w:r>
        <w:t>For the public website, consolidate overlapping categories rather than forcing all thirteen into separate cards. Recommended structure:</w:t>
      </w:r>
    </w:p>
    <w:tbl>
      <w:tblPr>
        <w:tblStyle w:val="TableGrid"/>
        <w:tblW w:type="auto" w:w="0"/>
        <w:jc w:val="center"/>
        <w:tblLook w:firstColumn="1" w:firstRow="1" w:lastColumn="0" w:lastRow="0" w:noHBand="0" w:noVBand="1" w:val="04A0"/>
      </w:tblPr>
      <w:tblGrid>
        <w:gridCol w:w="3408"/>
        <w:gridCol w:w="3408"/>
        <w:gridCol w:w="3408"/>
      </w:tblGrid>
      <w:tr>
        <w:trPr>
          <w:cantSplit/>
        </w:trPr>
        <w:tc>
          <w:tcPr>
            <w:tcW w:type="dxa" w:w="3408"/>
            <w:vAlign w:val="center"/>
            <w:shd w:fill="5B2A86"/>
          </w:tcPr>
          <w:p>
            <w:pPr>
              <w:spacing w:after="0"/>
            </w:pPr>
            <w:r/>
            <w:r>
              <w:rPr>
                <w:rFonts w:ascii="Aptos" w:hAnsi="Aptos"/>
                <w:b/>
                <w:color w:val="FFFFFF"/>
                <w:sz w:val="17"/>
              </w:rPr>
              <w:t>#</w:t>
            </w:r>
          </w:p>
        </w:tc>
        <w:tc>
          <w:tcPr>
            <w:tcW w:type="dxa" w:w="3408"/>
            <w:vAlign w:val="center"/>
            <w:shd w:fill="5B2A86"/>
          </w:tcPr>
          <w:p>
            <w:pPr>
              <w:spacing w:after="0"/>
            </w:pPr>
            <w:r/>
            <w:r>
              <w:rPr>
                <w:rFonts w:ascii="Aptos" w:hAnsi="Aptos"/>
                <w:b/>
                <w:color w:val="FFFFFF"/>
                <w:sz w:val="17"/>
              </w:rPr>
              <w:t>AUDIENCE GROUP</w:t>
            </w:r>
          </w:p>
        </w:tc>
        <w:tc>
          <w:tcPr>
            <w:tcW w:type="dxa" w:w="3408"/>
            <w:vAlign w:val="center"/>
            <w:shd w:fill="5B2A86"/>
          </w:tcPr>
          <w:p>
            <w:pPr>
              <w:spacing w:after="0"/>
            </w:pPr>
            <w:r/>
            <w:r>
              <w:rPr>
                <w:rFonts w:ascii="Aptos" w:hAnsi="Aptos"/>
                <w:b/>
                <w:color w:val="FFFFFF"/>
                <w:sz w:val="17"/>
              </w:rPr>
              <w:t>INCLUDES</w:t>
            </w:r>
          </w:p>
        </w:tc>
      </w:tr>
      <w:tr>
        <w:trPr>
          <w:cantSplit/>
        </w:trPr>
        <w:tc>
          <w:tcPr>
            <w:tcW w:type="dxa" w:w="3408"/>
            <w:vAlign w:val="center"/>
          </w:tcPr>
          <w:p>
            <w:pPr>
              <w:spacing w:after="0"/>
              <w:jc w:val="center"/>
            </w:pPr>
            <w:r/>
            <w:r>
              <w:rPr>
                <w:rFonts w:ascii="Aptos" w:hAnsi="Aptos"/>
                <w:b w:val="0"/>
                <w:color w:val="222222"/>
                <w:sz w:val="16"/>
              </w:rPr>
              <w:t>1</w:t>
            </w:r>
          </w:p>
        </w:tc>
        <w:tc>
          <w:tcPr>
            <w:tcW w:type="dxa" w:w="3408"/>
            <w:vAlign w:val="center"/>
          </w:tcPr>
          <w:p>
            <w:pPr>
              <w:spacing w:after="0"/>
            </w:pPr>
            <w:r/>
            <w:r>
              <w:rPr>
                <w:rFonts w:ascii="Aptos" w:hAnsi="Aptos"/>
                <w:b/>
                <w:color w:val="222222"/>
                <w:sz w:val="16"/>
              </w:rPr>
              <w:t>Schools &amp; Youth Organizations</w:t>
            </w:r>
          </w:p>
        </w:tc>
        <w:tc>
          <w:tcPr>
            <w:tcW w:type="dxa" w:w="3408"/>
            <w:vAlign w:val="center"/>
          </w:tcPr>
          <w:p>
            <w:pPr>
              <w:spacing w:after="0"/>
            </w:pPr>
            <w:r/>
            <w:r>
              <w:rPr>
                <w:rFonts w:ascii="Aptos" w:hAnsi="Aptos"/>
                <w:b w:val="0"/>
                <w:color w:val="222222"/>
                <w:sz w:val="16"/>
              </w:rPr>
              <w:t>K-12 schools, youth-serving programs, prevention initiatives, and family/youth engagement.</w:t>
            </w:r>
          </w:p>
        </w:tc>
      </w:tr>
      <w:tr>
        <w:trPr>
          <w:cantSplit/>
        </w:trPr>
        <w:tc>
          <w:tcPr>
            <w:tcW w:type="dxa" w:w="3408"/>
            <w:vAlign w:val="center"/>
          </w:tcPr>
          <w:p>
            <w:pPr>
              <w:spacing w:after="0"/>
              <w:jc w:val="center"/>
            </w:pPr>
            <w:r/>
            <w:r>
              <w:rPr>
                <w:rFonts w:ascii="Aptos" w:hAnsi="Aptos"/>
                <w:b w:val="0"/>
                <w:color w:val="222222"/>
                <w:sz w:val="16"/>
              </w:rPr>
              <w:t>2</w:t>
            </w:r>
          </w:p>
        </w:tc>
        <w:tc>
          <w:tcPr>
            <w:tcW w:type="dxa" w:w="3408"/>
            <w:vAlign w:val="center"/>
          </w:tcPr>
          <w:p>
            <w:pPr>
              <w:spacing w:after="0"/>
            </w:pPr>
            <w:r/>
            <w:r>
              <w:rPr>
                <w:rFonts w:ascii="Aptos" w:hAnsi="Aptos"/>
                <w:b/>
                <w:color w:val="222222"/>
                <w:sz w:val="16"/>
              </w:rPr>
              <w:t>Colleges &amp; Universities</w:t>
            </w:r>
          </w:p>
        </w:tc>
        <w:tc>
          <w:tcPr>
            <w:tcW w:type="dxa" w:w="3408"/>
            <w:vAlign w:val="center"/>
          </w:tcPr>
          <w:p>
            <w:pPr>
              <w:spacing w:after="0"/>
            </w:pPr>
            <w:r/>
            <w:r>
              <w:rPr>
                <w:rFonts w:ascii="Aptos" w:hAnsi="Aptos"/>
                <w:b w:val="0"/>
                <w:color w:val="222222"/>
                <w:sz w:val="16"/>
              </w:rPr>
              <w:t>Student affairs, campus prevention, wellness, athletics, and higher-education audiences.</w:t>
            </w:r>
          </w:p>
        </w:tc>
      </w:tr>
      <w:tr>
        <w:trPr>
          <w:cantSplit/>
        </w:trPr>
        <w:tc>
          <w:tcPr>
            <w:tcW w:type="dxa" w:w="3408"/>
            <w:vAlign w:val="center"/>
          </w:tcPr>
          <w:p>
            <w:pPr>
              <w:spacing w:after="0"/>
              <w:jc w:val="center"/>
            </w:pPr>
            <w:r/>
            <w:r>
              <w:rPr>
                <w:rFonts w:ascii="Aptos" w:hAnsi="Aptos"/>
                <w:b w:val="0"/>
                <w:color w:val="222222"/>
                <w:sz w:val="16"/>
              </w:rPr>
              <w:t>3</w:t>
            </w:r>
          </w:p>
        </w:tc>
        <w:tc>
          <w:tcPr>
            <w:tcW w:type="dxa" w:w="3408"/>
            <w:vAlign w:val="center"/>
          </w:tcPr>
          <w:p>
            <w:pPr>
              <w:spacing w:after="0"/>
            </w:pPr>
            <w:r/>
            <w:r>
              <w:rPr>
                <w:rFonts w:ascii="Aptos" w:hAnsi="Aptos"/>
                <w:b/>
                <w:color w:val="222222"/>
                <w:sz w:val="16"/>
              </w:rPr>
              <w:t>Healthcare &amp; Hospital Systems</w:t>
            </w:r>
          </w:p>
        </w:tc>
        <w:tc>
          <w:tcPr>
            <w:tcW w:type="dxa" w:w="3408"/>
            <w:vAlign w:val="center"/>
          </w:tcPr>
          <w:p>
            <w:pPr>
              <w:spacing w:after="0"/>
            </w:pPr>
            <w:r/>
            <w:r>
              <w:rPr>
                <w:rFonts w:ascii="Aptos" w:hAnsi="Aptos"/>
                <w:b w:val="0"/>
                <w:color w:val="222222"/>
                <w:sz w:val="16"/>
              </w:rPr>
              <w:t>Healthcare organizations, hospitals, care teams, and systems interested in prevention and connection to services.</w:t>
            </w:r>
          </w:p>
        </w:tc>
      </w:tr>
      <w:tr>
        <w:trPr>
          <w:cantSplit/>
        </w:trPr>
        <w:tc>
          <w:tcPr>
            <w:tcW w:type="dxa" w:w="3408"/>
            <w:vAlign w:val="center"/>
          </w:tcPr>
          <w:p>
            <w:pPr>
              <w:spacing w:after="0"/>
              <w:jc w:val="center"/>
            </w:pPr>
            <w:r/>
            <w:r>
              <w:rPr>
                <w:rFonts w:ascii="Aptos" w:hAnsi="Aptos"/>
                <w:b w:val="0"/>
                <w:color w:val="222222"/>
                <w:sz w:val="16"/>
              </w:rPr>
              <w:t>4</w:t>
            </w:r>
          </w:p>
        </w:tc>
        <w:tc>
          <w:tcPr>
            <w:tcW w:type="dxa" w:w="3408"/>
            <w:vAlign w:val="center"/>
          </w:tcPr>
          <w:p>
            <w:pPr>
              <w:spacing w:after="0"/>
            </w:pPr>
            <w:r/>
            <w:r>
              <w:rPr>
                <w:rFonts w:ascii="Aptos" w:hAnsi="Aptos"/>
                <w:b/>
                <w:color w:val="222222"/>
                <w:sz w:val="16"/>
              </w:rPr>
              <w:t>Government &amp; Public Health</w:t>
            </w:r>
          </w:p>
        </w:tc>
        <w:tc>
          <w:tcPr>
            <w:tcW w:type="dxa" w:w="3408"/>
            <w:vAlign w:val="center"/>
          </w:tcPr>
          <w:p>
            <w:pPr>
              <w:spacing w:after="0"/>
            </w:pPr>
            <w:r/>
            <w:r>
              <w:rPr>
                <w:rFonts w:ascii="Aptos" w:hAnsi="Aptos"/>
                <w:b w:val="0"/>
                <w:color w:val="222222"/>
                <w:sz w:val="16"/>
              </w:rPr>
              <w:t>Government agencies, public-health departments, prevention systems, and policy-focused audiences.</w:t>
            </w:r>
          </w:p>
        </w:tc>
      </w:tr>
      <w:tr>
        <w:trPr>
          <w:cantSplit/>
        </w:trPr>
        <w:tc>
          <w:tcPr>
            <w:tcW w:type="dxa" w:w="3408"/>
            <w:vAlign w:val="center"/>
          </w:tcPr>
          <w:p>
            <w:pPr>
              <w:spacing w:after="0"/>
              <w:jc w:val="center"/>
            </w:pPr>
            <w:r/>
            <w:r>
              <w:rPr>
                <w:rFonts w:ascii="Aptos" w:hAnsi="Aptos"/>
                <w:b w:val="0"/>
                <w:color w:val="222222"/>
                <w:sz w:val="16"/>
              </w:rPr>
              <w:t>5</w:t>
            </w:r>
          </w:p>
        </w:tc>
        <w:tc>
          <w:tcPr>
            <w:tcW w:type="dxa" w:w="3408"/>
            <w:vAlign w:val="center"/>
          </w:tcPr>
          <w:p>
            <w:pPr>
              <w:spacing w:after="0"/>
            </w:pPr>
            <w:r/>
            <w:r>
              <w:rPr>
                <w:rFonts w:ascii="Aptos" w:hAnsi="Aptos"/>
                <w:b/>
                <w:color w:val="222222"/>
                <w:sz w:val="16"/>
              </w:rPr>
              <w:t>Behavioral Health Providers</w:t>
            </w:r>
          </w:p>
        </w:tc>
        <w:tc>
          <w:tcPr>
            <w:tcW w:type="dxa" w:w="3408"/>
            <w:vAlign w:val="center"/>
          </w:tcPr>
          <w:p>
            <w:pPr>
              <w:spacing w:after="0"/>
            </w:pPr>
            <w:r/>
            <w:r>
              <w:rPr>
                <w:rFonts w:ascii="Aptos" w:hAnsi="Aptos"/>
                <w:b w:val="0"/>
                <w:color w:val="222222"/>
                <w:sz w:val="16"/>
              </w:rPr>
              <w:t>Clinicians, counselors, treatment providers, prevention professionals, and helping professionals.</w:t>
            </w:r>
          </w:p>
        </w:tc>
      </w:tr>
      <w:tr>
        <w:trPr>
          <w:cantSplit/>
        </w:trPr>
        <w:tc>
          <w:tcPr>
            <w:tcW w:type="dxa" w:w="3408"/>
            <w:vAlign w:val="center"/>
          </w:tcPr>
          <w:p>
            <w:pPr>
              <w:spacing w:after="0"/>
              <w:jc w:val="center"/>
            </w:pPr>
            <w:r/>
            <w:r>
              <w:rPr>
                <w:rFonts w:ascii="Aptos" w:hAnsi="Aptos"/>
                <w:b w:val="0"/>
                <w:color w:val="222222"/>
                <w:sz w:val="16"/>
              </w:rPr>
              <w:t>6</w:t>
            </w:r>
          </w:p>
        </w:tc>
        <w:tc>
          <w:tcPr>
            <w:tcW w:type="dxa" w:w="3408"/>
            <w:vAlign w:val="center"/>
          </w:tcPr>
          <w:p>
            <w:pPr>
              <w:spacing w:after="0"/>
            </w:pPr>
            <w:r/>
            <w:r>
              <w:rPr>
                <w:rFonts w:ascii="Aptos" w:hAnsi="Aptos"/>
                <w:b/>
                <w:color w:val="222222"/>
                <w:sz w:val="16"/>
              </w:rPr>
              <w:t>Recovery Networks</w:t>
            </w:r>
          </w:p>
        </w:tc>
        <w:tc>
          <w:tcPr>
            <w:tcW w:type="dxa" w:w="3408"/>
            <w:vAlign w:val="center"/>
          </w:tcPr>
          <w:p>
            <w:pPr>
              <w:spacing w:after="0"/>
            </w:pPr>
            <w:r/>
            <w:r>
              <w:rPr>
                <w:rFonts w:ascii="Aptos" w:hAnsi="Aptos"/>
                <w:b w:val="0"/>
                <w:color w:val="222222"/>
                <w:sz w:val="16"/>
              </w:rPr>
              <w:t>Recovery communities, peer-support networks, recovery organizations, and service partners.</w:t>
            </w:r>
          </w:p>
        </w:tc>
      </w:tr>
      <w:tr>
        <w:trPr>
          <w:cantSplit/>
        </w:trPr>
        <w:tc>
          <w:tcPr>
            <w:tcW w:type="dxa" w:w="3408"/>
            <w:vAlign w:val="center"/>
          </w:tcPr>
          <w:p>
            <w:pPr>
              <w:spacing w:after="0"/>
              <w:jc w:val="center"/>
            </w:pPr>
            <w:r/>
            <w:r>
              <w:rPr>
                <w:rFonts w:ascii="Aptos" w:hAnsi="Aptos"/>
                <w:b w:val="0"/>
                <w:color w:val="222222"/>
                <w:sz w:val="16"/>
              </w:rPr>
              <w:t>7</w:t>
            </w:r>
          </w:p>
        </w:tc>
        <w:tc>
          <w:tcPr>
            <w:tcW w:type="dxa" w:w="3408"/>
            <w:vAlign w:val="center"/>
          </w:tcPr>
          <w:p>
            <w:pPr>
              <w:spacing w:after="0"/>
            </w:pPr>
            <w:r/>
            <w:r>
              <w:rPr>
                <w:rFonts w:ascii="Aptos" w:hAnsi="Aptos"/>
                <w:b/>
                <w:color w:val="222222"/>
                <w:sz w:val="16"/>
              </w:rPr>
              <w:t>Community Organizations &amp; Nonprofits</w:t>
            </w:r>
          </w:p>
        </w:tc>
        <w:tc>
          <w:tcPr>
            <w:tcW w:type="dxa" w:w="3408"/>
            <w:vAlign w:val="center"/>
          </w:tcPr>
          <w:p>
            <w:pPr>
              <w:spacing w:after="0"/>
            </w:pPr>
            <w:r/>
            <w:r>
              <w:rPr>
                <w:rFonts w:ascii="Aptos" w:hAnsi="Aptos"/>
                <w:b w:val="0"/>
                <w:color w:val="222222"/>
                <w:sz w:val="16"/>
              </w:rPr>
              <w:t>Mission-driven organizations, neighborhood groups, nonprofits, and community-serving agencies.</w:t>
            </w:r>
          </w:p>
        </w:tc>
      </w:tr>
      <w:tr>
        <w:trPr>
          <w:cantSplit/>
        </w:trPr>
        <w:tc>
          <w:tcPr>
            <w:tcW w:type="dxa" w:w="3408"/>
            <w:vAlign w:val="center"/>
          </w:tcPr>
          <w:p>
            <w:pPr>
              <w:spacing w:after="0"/>
              <w:jc w:val="center"/>
            </w:pPr>
            <w:r/>
            <w:r>
              <w:rPr>
                <w:rFonts w:ascii="Aptos" w:hAnsi="Aptos"/>
                <w:b w:val="0"/>
                <w:color w:val="222222"/>
                <w:sz w:val="16"/>
              </w:rPr>
              <w:t>8</w:t>
            </w:r>
          </w:p>
        </w:tc>
        <w:tc>
          <w:tcPr>
            <w:tcW w:type="dxa" w:w="3408"/>
            <w:vAlign w:val="center"/>
          </w:tcPr>
          <w:p>
            <w:pPr>
              <w:spacing w:after="0"/>
            </w:pPr>
            <w:r/>
            <w:r>
              <w:rPr>
                <w:rFonts w:ascii="Aptos" w:hAnsi="Aptos"/>
                <w:b/>
                <w:color w:val="222222"/>
                <w:sz w:val="16"/>
              </w:rPr>
              <w:t>Community Coalitions</w:t>
            </w:r>
          </w:p>
        </w:tc>
        <w:tc>
          <w:tcPr>
            <w:tcW w:type="dxa" w:w="3408"/>
            <w:vAlign w:val="center"/>
          </w:tcPr>
          <w:p>
            <w:pPr>
              <w:spacing w:after="0"/>
            </w:pPr>
            <w:r/>
            <w:r>
              <w:rPr>
                <w:rFonts w:ascii="Aptos" w:hAnsi="Aptos"/>
                <w:b w:val="0"/>
                <w:color w:val="222222"/>
                <w:sz w:val="16"/>
              </w:rPr>
              <w:t>ROSC councils, prevention coalitions, cross-sector collaboratives, and community partnerships.</w:t>
            </w:r>
          </w:p>
        </w:tc>
      </w:tr>
      <w:tr>
        <w:trPr>
          <w:cantSplit/>
        </w:trPr>
        <w:tc>
          <w:tcPr>
            <w:tcW w:type="dxa" w:w="3408"/>
            <w:vAlign w:val="center"/>
          </w:tcPr>
          <w:p>
            <w:pPr>
              <w:spacing w:after="0"/>
              <w:jc w:val="center"/>
            </w:pPr>
            <w:r/>
            <w:r>
              <w:rPr>
                <w:rFonts w:ascii="Aptos" w:hAnsi="Aptos"/>
                <w:b w:val="0"/>
                <w:color w:val="222222"/>
                <w:sz w:val="16"/>
              </w:rPr>
              <w:t>9</w:t>
            </w:r>
          </w:p>
        </w:tc>
        <w:tc>
          <w:tcPr>
            <w:tcW w:type="dxa" w:w="3408"/>
            <w:vAlign w:val="center"/>
          </w:tcPr>
          <w:p>
            <w:pPr>
              <w:spacing w:after="0"/>
            </w:pPr>
            <w:r/>
            <w:r>
              <w:rPr>
                <w:rFonts w:ascii="Aptos" w:hAnsi="Aptos"/>
                <w:b/>
                <w:color w:val="222222"/>
                <w:sz w:val="16"/>
              </w:rPr>
              <w:t>Faith Communities</w:t>
            </w:r>
          </w:p>
        </w:tc>
        <w:tc>
          <w:tcPr>
            <w:tcW w:type="dxa" w:w="3408"/>
            <w:vAlign w:val="center"/>
          </w:tcPr>
          <w:p>
            <w:pPr>
              <w:spacing w:after="0"/>
            </w:pPr>
            <w:r/>
            <w:r>
              <w:rPr>
                <w:rFonts w:ascii="Aptos" w:hAnsi="Aptos"/>
                <w:b w:val="0"/>
                <w:color w:val="222222"/>
                <w:sz w:val="16"/>
              </w:rPr>
              <w:t>Churches, faith-based organizations, ministries, and community-centered faith networks.</w:t>
            </w:r>
          </w:p>
        </w:tc>
      </w:tr>
      <w:tr>
        <w:trPr>
          <w:cantSplit/>
        </w:trPr>
        <w:tc>
          <w:tcPr>
            <w:tcW w:type="dxa" w:w="3408"/>
            <w:vAlign w:val="center"/>
          </w:tcPr>
          <w:p>
            <w:pPr>
              <w:spacing w:after="0"/>
              <w:jc w:val="center"/>
            </w:pPr>
            <w:r/>
            <w:r>
              <w:rPr>
                <w:rFonts w:ascii="Aptos" w:hAnsi="Aptos"/>
                <w:b w:val="0"/>
                <w:color w:val="222222"/>
                <w:sz w:val="16"/>
              </w:rPr>
              <w:t>10</w:t>
            </w:r>
          </w:p>
        </w:tc>
        <w:tc>
          <w:tcPr>
            <w:tcW w:type="dxa" w:w="3408"/>
            <w:vAlign w:val="center"/>
          </w:tcPr>
          <w:p>
            <w:pPr>
              <w:spacing w:after="0"/>
            </w:pPr>
            <w:r/>
            <w:r>
              <w:rPr>
                <w:rFonts w:ascii="Aptos" w:hAnsi="Aptos"/>
                <w:b/>
                <w:color w:val="222222"/>
                <w:sz w:val="16"/>
              </w:rPr>
              <w:t>Conferences &amp; Professional Associations</w:t>
            </w:r>
          </w:p>
        </w:tc>
        <w:tc>
          <w:tcPr>
            <w:tcW w:type="dxa" w:w="3408"/>
            <w:vAlign w:val="center"/>
          </w:tcPr>
          <w:p>
            <w:pPr>
              <w:spacing w:after="0"/>
            </w:pPr>
            <w:r/>
            <w:r>
              <w:rPr>
                <w:rFonts w:ascii="Aptos" w:hAnsi="Aptos"/>
                <w:b w:val="0"/>
                <w:color w:val="222222"/>
                <w:sz w:val="16"/>
              </w:rPr>
              <w:t>Conference planners, associations, summits, professional meetings, and event organizers.</w:t>
            </w:r>
          </w:p>
        </w:tc>
      </w:tr>
    </w:tbl>
    <w:p>
      <w:r>
        <w:br w:type="page"/>
      </w:r>
    </w:p>
    <w:p>
      <w:pPr>
        <w:pStyle w:val="Heading1"/>
      </w:pPr>
      <w:r>
        <w:t>4. Section 6.3 - Partnership Boundaries</w:t>
      </w:r>
    </w:p>
    <w:p>
      <w:r>
        <w:t>This answer should communicate openness to cross-sector prevention work while protecting the independence and credibility of Tiffany's message.</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val="0"/>
                <w:color w:val="222222"/>
                <w:sz w:val="19"/>
              </w:rPr>
              <w:t>I am open to working across sectors when the purpose of the engagement is education, prevention, harm reduction, responsible gambling, community awareness, research, or improving access to support. That can include conversations with government, public-health organizations and, where appropriate, gambling-industry stakeholders.</w:t>
              <w:br/>
              <w:br/>
              <w:t>I would not participate in an engagement that requires me to promote gambling, encourage betting participation, minimize gambling-related harm, compromise the independence of my message, or use prevention work primarily as a marketing vehicle. Any partnership must allow me to speak honestly about risk, prevention, harm, and access to help.</w:t>
            </w:r>
          </w:p>
        </w:tc>
      </w:tr>
    </w:tbl>
    <w:p>
      <w:pPr>
        <w:pStyle w:val="Heading2"/>
      </w:pPr>
      <w:r>
        <w:t>Recommended Internal Partnership Test</w:t>
      </w:r>
    </w:p>
    <w:p>
      <w:pPr>
        <w:pStyle w:val="ListBullet"/>
      </w:pPr>
      <w:r>
        <w:t>Is the primary purpose education, prevention, harm reduction, responsible gambling, research, or access to support?</w:t>
      </w:r>
    </w:p>
    <w:p>
      <w:pPr>
        <w:pStyle w:val="ListBullet"/>
      </w:pPr>
      <w:r>
        <w:t>Can Tiffany speak independently and honestly about gambling-related risk and harm?</w:t>
      </w:r>
    </w:p>
    <w:p>
      <w:pPr>
        <w:pStyle w:val="ListBullet"/>
      </w:pPr>
      <w:r>
        <w:t>Is the engagement free from requirements to promote gambling participation or betting products?</w:t>
      </w:r>
    </w:p>
    <w:p>
      <w:pPr>
        <w:pStyle w:val="ListBullet"/>
      </w:pPr>
      <w:r>
        <w:t>Will prevention content remain prevention content rather than becoming a marketing vehicle?</w:t>
      </w:r>
    </w:p>
    <w:p>
      <w:pPr>
        <w:pStyle w:val="ListBullet"/>
      </w:pPr>
      <w:r>
        <w:t>Does the partnership align with the credibility and public-health positioning of the platform?</w:t>
      </w:r>
    </w:p>
    <w:p>
      <w:pPr>
        <w:pStyle w:val="Heading1"/>
      </w:pPr>
      <w:r>
        <w:t>5. Section 6.4 - Three Audiences to Feature First</w:t>
      </w:r>
    </w:p>
    <w:p>
      <w:r>
        <w:t>Because the questionnaire asks for the audiences Tiffany most wants more of - not necessarily those she currently serves most often - this is a strategic recommendation.</w:t>
      </w:r>
    </w:p>
    <w:p>
      <w:pPr>
        <w:pStyle w:val="Heading3"/>
      </w:pPr>
      <w:r>
        <w:t>1. Conferences &amp; Professional Associations</w:t>
      </w:r>
    </w:p>
    <w:p>
      <w:r>
        <w:t>Expands national speaking opportunities and supports keynotes, breakouts, panels, workshops, webinars, and professional visibility.</w:t>
      </w:r>
    </w:p>
    <w:p>
      <w:pPr>
        <w:pStyle w:val="Heading3"/>
      </w:pPr>
      <w:r>
        <w:t>2. Schools, Colleges &amp; Universities</w:t>
      </w:r>
    </w:p>
    <w:p>
      <w:r>
        <w:t>Supports the growing youth-prevention, gaming, sports-betting, creativity, early-intervention, and campus-facing side of the platform.</w:t>
      </w:r>
    </w:p>
    <w:p>
      <w:pPr>
        <w:pStyle w:val="Heading3"/>
      </w:pPr>
      <w:r>
        <w:t>3. Government &amp; Public Health</w:t>
      </w:r>
    </w:p>
    <w:p>
      <w:r>
        <w:t>Positions Tiffany's work within prevention systems, policy conversations, public health, coalitions, and larger-scale community initiatives.</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2"/>
              </w:rPr>
              <w:t>Strategic story: National thought leadership + next-generation prevention + systems-level impact.</w:t>
            </w:r>
          </w:p>
        </w:tc>
      </w:tr>
    </w:tbl>
    <w:p>
      <w:pPr>
        <w:pStyle w:val="Heading1"/>
      </w:pPr>
      <w:r>
        <w:t>6. Recommended Website Experience</w:t>
      </w:r>
    </w:p>
    <w:p>
      <w:r>
        <w:t>Frame the section around a simple visitor question: “Do you see your organization here?” Each audience selection should help the visitor move toward relevant formats and topics rather than functioning as a static list.</w:t>
      </w:r>
    </w:p>
    <w:tbl>
      <w:tblPr>
        <w:tblStyle w:val="TableGrid"/>
        <w:tblW w:type="auto" w:w="0"/>
        <w:jc w:val="center"/>
        <w:tblLook w:firstColumn="1" w:firstRow="1" w:lastColumn="0" w:lastRow="0" w:noHBand="0" w:noVBand="1" w:val="04A0"/>
      </w:tblPr>
      <w:tblGrid>
        <w:gridCol w:w="2556"/>
        <w:gridCol w:w="2556"/>
        <w:gridCol w:w="2556"/>
        <w:gridCol w:w="2556"/>
      </w:tblGrid>
      <w:tr>
        <w:trPr>
          <w:cantSplit/>
        </w:trPr>
        <w:tc>
          <w:tcPr>
            <w:tcW w:type="dxa" w:w="2556"/>
            <w:vAlign w:val="center"/>
            <w:shd w:fill="5B2A86"/>
          </w:tcPr>
          <w:p>
            <w:pPr>
              <w:spacing w:after="0"/>
            </w:pPr>
            <w:r/>
            <w:r>
              <w:rPr>
                <w:rFonts w:ascii="Aptos" w:hAnsi="Aptos"/>
                <w:b/>
                <w:color w:val="FFFFFF"/>
                <w:sz w:val="18"/>
              </w:rPr>
              <w:t>AUDIENCE</w:t>
            </w:r>
          </w:p>
        </w:tc>
        <w:tc>
          <w:tcPr>
            <w:tcW w:type="dxa" w:w="2556"/>
            <w:vAlign w:val="center"/>
            <w:shd w:fill="5B2A86"/>
          </w:tcPr>
          <w:p>
            <w:pPr>
              <w:spacing w:after="0"/>
            </w:pPr>
            <w:r/>
            <w:r>
              <w:rPr>
                <w:rFonts w:ascii="Aptos" w:hAnsi="Aptos"/>
                <w:b/>
                <w:color w:val="FFFFFF"/>
                <w:sz w:val="18"/>
              </w:rPr>
              <w:t>FORMAT</w:t>
            </w:r>
          </w:p>
        </w:tc>
        <w:tc>
          <w:tcPr>
            <w:tcW w:type="dxa" w:w="2556"/>
            <w:vAlign w:val="center"/>
            <w:shd w:fill="5B2A86"/>
          </w:tcPr>
          <w:p>
            <w:pPr>
              <w:spacing w:after="0"/>
            </w:pPr>
            <w:r/>
            <w:r>
              <w:rPr>
                <w:rFonts w:ascii="Aptos" w:hAnsi="Aptos"/>
                <w:b/>
                <w:color w:val="FFFFFF"/>
                <w:sz w:val="18"/>
              </w:rPr>
              <w:t>TOPIC</w:t>
            </w:r>
          </w:p>
        </w:tc>
        <w:tc>
          <w:tcPr>
            <w:tcW w:type="dxa" w:w="2556"/>
            <w:vAlign w:val="center"/>
            <w:shd w:fill="5B2A86"/>
          </w:tcPr>
          <w:p>
            <w:pPr>
              <w:spacing w:after="0"/>
            </w:pPr>
            <w:r/>
            <w:r>
              <w:rPr>
                <w:rFonts w:ascii="Aptos" w:hAnsi="Aptos"/>
                <w:b/>
                <w:color w:val="FFFFFF"/>
                <w:sz w:val="18"/>
              </w:rPr>
              <w:t>INQUIRY</w:t>
            </w:r>
          </w:p>
        </w:tc>
      </w:tr>
      <w:tr>
        <w:trPr>
          <w:cantSplit/>
        </w:trPr>
        <w:tc>
          <w:tcPr>
            <w:tcW w:type="dxa" w:w="2556"/>
            <w:vAlign w:val="center"/>
          </w:tcPr>
          <w:p>
            <w:pPr>
              <w:spacing w:after="0"/>
            </w:pPr>
            <w:r/>
            <w:r>
              <w:rPr>
                <w:rFonts w:ascii="Aptos" w:hAnsi="Aptos"/>
                <w:b w:val="0"/>
                <w:color w:val="222222"/>
                <w:sz w:val="17"/>
              </w:rPr>
              <w:t>Schools &amp; Youth Organizations</w:t>
            </w:r>
          </w:p>
        </w:tc>
        <w:tc>
          <w:tcPr>
            <w:tcW w:type="dxa" w:w="2556"/>
            <w:vAlign w:val="center"/>
          </w:tcPr>
          <w:p>
            <w:pPr>
              <w:spacing w:after="0"/>
            </w:pPr>
            <w:r/>
            <w:r>
              <w:rPr>
                <w:rFonts w:ascii="Aptos" w:hAnsi="Aptos"/>
                <w:b w:val="0"/>
                <w:color w:val="222222"/>
                <w:sz w:val="17"/>
              </w:rPr>
              <w:t>Youth Program / Workshop</w:t>
            </w:r>
          </w:p>
        </w:tc>
        <w:tc>
          <w:tcPr>
            <w:tcW w:type="dxa" w:w="2556"/>
            <w:vAlign w:val="center"/>
          </w:tcPr>
          <w:p>
            <w:pPr>
              <w:spacing w:after="0"/>
            </w:pPr>
            <w:r/>
            <w:r>
              <w:rPr>
                <w:rFonts w:ascii="Aptos" w:hAnsi="Aptos"/>
                <w:b w:val="0"/>
                <w:color w:val="222222"/>
                <w:sz w:val="17"/>
              </w:rPr>
              <w:t>Healthy Gaming &amp; Sports</w:t>
            </w:r>
          </w:p>
        </w:tc>
        <w:tc>
          <w:tcPr>
            <w:tcW w:type="dxa" w:w="2556"/>
            <w:vAlign w:val="center"/>
          </w:tcPr>
          <w:p>
            <w:pPr>
              <w:spacing w:after="0"/>
            </w:pPr>
            <w:r/>
            <w:r>
              <w:rPr>
                <w:rFonts w:ascii="Aptos" w:hAnsi="Aptos"/>
                <w:b w:val="0"/>
                <w:color w:val="222222"/>
                <w:sz w:val="17"/>
              </w:rPr>
              <w:t>Start a Conversation</w:t>
            </w:r>
          </w:p>
        </w:tc>
      </w:tr>
    </w:tbl>
    <w:p>
      <w:pPr>
        <w:pStyle w:val="Heading1"/>
      </w:pPr>
      <w:r>
        <w:t>7. Website Developer Direction</w:t>
      </w:r>
    </w:p>
    <w:tbl>
      <w:tblPr>
        <w:tblW w:type="auto" w:w="0"/>
        <w:tblLook w:firstColumn="1" w:firstRow="1" w:lastColumn="0" w:lastRow="0" w:noHBand="0" w:noVBand="1" w:val="04A0"/>
      </w:tblPr>
      <w:tblGrid>
        <w:gridCol w:w="10224"/>
      </w:tblGrid>
      <w:tr>
        <w:trPr>
          <w:cantSplit/>
        </w:trPr>
        <w:tc>
          <w:tcPr>
            <w:tcW w:type="dxa" w:w="10224"/>
            <w:shd w:fill="F3EEF8"/>
            <w:vAlign w:val="center"/>
          </w:tcPr>
          <w:p>
            <w:pPr>
              <w:spacing w:after="0"/>
            </w:pPr>
            <w:r/>
            <w:r>
              <w:rPr>
                <w:rFonts w:ascii="Aptos" w:hAnsi="Aptos"/>
                <w:b/>
                <w:color w:val="5B2A86"/>
                <w:sz w:val="20"/>
              </w:rPr>
              <w:t>Create one consolidated audience self-select section rather than repeating audience lists throughout the site. Use the three priority audiences first, followed by the remaining audience groups. Where possible, allow an audience selection to connect visitors to relevant speaking formats and topic filters. Keep the section visually simple and easy to scan.</w:t>
            </w:r>
          </w:p>
        </w:tc>
      </w:tr>
    </w:tbl>
    <w:p>
      <w:pPr>
        <w:pStyle w:val="Heading1"/>
      </w:pPr>
      <w:r>
        <w:t>8. Final Recommended Website Copy</w:t>
      </w:r>
    </w:p>
    <w:p>
      <w:r>
        <w:rPr>
          <w:b/>
        </w:rPr>
        <w:t xml:space="preserve">Section heading: </w:t>
      </w:r>
      <w:r>
        <w:t>Who I Work With</w:t>
      </w:r>
    </w:p>
    <w:p>
      <w:r>
        <w:rPr>
          <w:b/>
        </w:rPr>
        <w:t xml:space="preserve">Prompt: </w:t>
      </w:r>
      <w:r>
        <w:t>Do you see your organization here?</w:t>
      </w:r>
    </w:p>
    <w:p>
      <w:r>
        <w:rPr>
          <w:b/>
        </w:rPr>
        <w:t xml:space="preserve">Supporting paragraph: </w:t>
      </w:r>
      <w:r>
        <w:t>Communities most affected by gambling harm can also be among the hardest for traditional prevention efforts to reach. Tiffany's work is built to help close that gap - with cultural fluency, frontline experience, creativity, and evidence-informed strategies that make prevention easier to understand, access, and act on.</w:t>
      </w:r>
    </w:p>
    <w:p>
      <w:r>
        <w:rPr>
          <w:b/>
        </w:rPr>
        <w:t xml:space="preserve">CTA: </w:t>
      </w:r>
      <w:r>
        <w:t>Find the Right Session / Start a Conversation</w:t>
      </w:r>
    </w:p>
    <w:p>
      <w:pPr>
        <w:pStyle w:val="Heading1"/>
      </w:pPr>
      <w:r>
        <w:t>9. Items to Confirm Before Publishing</w:t>
      </w:r>
    </w:p>
    <w:p>
      <w:pPr>
        <w:pStyle w:val="ListBullet"/>
      </w:pPr>
      <w:r>
        <w:t>Confirm whether all ten consolidated public audience groups accurately reflect the organizations Tiffany wants to serve.</w:t>
      </w:r>
    </w:p>
    <w:p>
      <w:pPr>
        <w:pStyle w:val="ListBullet"/>
      </w:pPr>
      <w:r>
        <w:t>Confirm the final three priority audiences and their display order.</w:t>
      </w:r>
    </w:p>
    <w:p>
      <w:pPr>
        <w:pStyle w:val="ListBullet"/>
      </w:pPr>
      <w:r>
        <w:t>Confirm the partnership boundary language, especially regarding gambling-industry stakeholders.</w:t>
      </w:r>
    </w:p>
    <w:p>
      <w:pPr>
        <w:pStyle w:val="ListBullet"/>
      </w:pPr>
      <w:r>
        <w:t>Decide whether Schools &amp; Youth Organizations and Colleges &amp; Universities should remain separate or be grouped under Education.</w:t>
      </w:r>
    </w:p>
    <w:p>
      <w:pPr>
        <w:pStyle w:val="ListBullet"/>
      </w:pPr>
      <w:r>
        <w:t>Decide whether each audience card should link directly to filtered speaking topics, relevant formats, or the inquiry form.</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Tiffany Webb | Updated Who You Work With Audience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5B2A8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22222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5B2A8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5B2A86"/>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