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120E"/>
          <w:sz w:val="25"/>
        </w:rPr>
        <w:t>TIFFANY WEBB - WEBSITE CONTENT &amp; DEVELOPMENT GUIDE</w:t>
      </w:r>
    </w:p>
    <w:p>
      <w:pPr>
        <w:jc w:val="center"/>
      </w:pPr>
      <w:r>
        <w:rPr>
          <w:b/>
          <w:color w:val="D9AE4A"/>
          <w:sz w:val="46"/>
        </w:rPr>
        <w:t>Speaking Topics Architecture</w:t>
      </w:r>
    </w:p>
    <w:tbl>
      <w:tblPr>
        <w:tblW w:type="auto" w:w="0"/>
        <w:jc w:val="center"/>
        <w:tblLook w:firstColumn="1" w:firstRow="1" w:lastColumn="0" w:lastRow="0" w:noHBand="0" w:noVBand="1" w:val="04A0"/>
      </w:tblPr>
      <w:tblGrid>
        <w:gridCol w:w="10166"/>
      </w:tblGrid>
      <w:tr>
        <w:tc>
          <w:tcPr>
            <w:tcW w:type="dxa" w:w="10166"/>
            <w:shd w:fill="0F120E"/>
          </w:tcPr>
          <w:p>
            <w:pPr>
              <w:jc w:val="center"/>
            </w:pPr>
            <w:r>
              <w:rPr>
                <w:b/>
                <w:color w:val="D9AE4A"/>
              </w:rPr>
              <w:t>CORE WEBSITE DIRECTION</w:t>
            </w:r>
          </w:p>
          <w:p>
            <w:pPr>
              <w:jc w:val="center"/>
            </w:pPr>
            <w:r>
              <w:rPr>
                <w:b/>
                <w:color w:val="F5EFE3"/>
                <w:sz w:val="24"/>
              </w:rPr>
              <w:t>Homepage: 4 topic-track cards  |  Dedicated page: full 20-topic catalog with audience + topic filters</w:t>
            </w:r>
          </w:p>
        </w:tc>
      </w:tr>
    </w:tbl>
    <w:p>
      <w:pPr>
        <w:spacing w:before="160" w:after="80"/>
      </w:pPr>
      <w:r>
        <w:rPr>
          <w:b/>
          <w:color w:val="D9AE4A"/>
          <w:sz w:val="24"/>
        </w:rPr>
        <w:t>WHAT THIS SECTION SHOULD DO</w:t>
      </w:r>
    </w:p>
    <w:p>
      <w:r>
        <w:t>The homepage should introduce Tiffany's expertise through four broad speaking tracks rather than displaying a long list of presentations. The full Speaking Topics page should then give organizers a clear, searchable catalog of bookable topics. Presentation files, internal training decks, frameworks, and event materials should be translated into public-facing topic titles rather than displayed as filenames.</w:t>
      </w:r>
    </w:p>
    <w:p>
      <w:pPr>
        <w:spacing w:before="160" w:after="80"/>
      </w:pPr>
      <w:r>
        <w:rPr>
          <w:b/>
          <w:color w:val="D9AE4A"/>
          <w:sz w:val="24"/>
        </w:rPr>
        <w:t>RECOMMENDED HOMEPAGE TRACKS</w:t>
      </w:r>
    </w:p>
    <w:p>
      <w:pPr>
        <w:spacing w:after="20"/>
      </w:pPr>
      <w:r>
        <w:rPr>
          <w:b/>
        </w:rPr>
        <w:t>1. Prevention, Gambling &amp; Emerging Risk</w:t>
      </w:r>
    </w:p>
    <w:p>
      <w:pPr>
        <w:spacing w:after="80"/>
        <w:ind w:left="259"/>
      </w:pPr>
      <w:r>
        <w:t>Gambling prevention, youth, gaming, sports betting, public-health education, and emerging risks.</w:t>
      </w:r>
    </w:p>
    <w:p>
      <w:pPr>
        <w:spacing w:after="20"/>
      </w:pPr>
      <w:r>
        <w:rPr>
          <w:b/>
        </w:rPr>
        <w:t>2. Community Engagement &amp; Outreach</w:t>
      </w:r>
    </w:p>
    <w:p>
      <w:pPr>
        <w:spacing w:after="80"/>
        <w:ind w:left="259"/>
      </w:pPr>
      <w:r>
        <w:t>Trust-building, outreach strategy, engagement touchpoints, prevention outreach, and community activation.</w:t>
      </w:r>
    </w:p>
    <w:p>
      <w:pPr>
        <w:spacing w:after="20"/>
      </w:pPr>
      <w:r>
        <w:rPr>
          <w:b/>
        </w:rPr>
        <w:t>3. Human-Centered Systems &amp; Services</w:t>
      </w:r>
    </w:p>
    <w:p>
      <w:pPr>
        <w:spacing w:after="80"/>
        <w:ind w:left="259"/>
      </w:pPr>
      <w:r>
        <w:t>Referral, connection to care, customer personas, reducing service gaps, and designing services around people.</w:t>
      </w:r>
    </w:p>
    <w:p>
      <w:pPr>
        <w:spacing w:after="20"/>
      </w:pPr>
      <w:r>
        <w:rPr>
          <w:b/>
        </w:rPr>
        <w:t>4. Purpose, Leadership &amp; Impact</w:t>
      </w:r>
    </w:p>
    <w:p>
      <w:pPr>
        <w:spacing w:after="80"/>
        <w:ind w:left="259"/>
      </w:pPr>
      <w:r>
        <w:t>Advocacy, storytelling, stigma, purpose, speaking up, leadership, and turning ideas into meaningful impact.</w:t>
      </w:r>
    </w:p>
    <w:p>
      <w:pPr>
        <w:spacing w:before="160" w:after="80"/>
      </w:pPr>
      <w:r>
        <w:rPr>
          <w:b/>
          <w:color w:val="D9AE4A"/>
          <w:sz w:val="24"/>
        </w:rPr>
        <w:t>PROPOSED 20-TOPIC PUBLIC CATALOG</w:t>
      </w:r>
    </w:p>
    <w:tbl>
      <w:tblPr>
        <w:tblStyle w:val="TableGrid"/>
        <w:tblW w:type="auto" w:w="0"/>
        <w:jc w:val="center"/>
        <w:tblLook w:firstColumn="1" w:firstRow="1" w:lastColumn="0" w:lastRow="0" w:noHBand="0" w:noVBand="1" w:val="04A0"/>
      </w:tblPr>
      <w:tblGrid>
        <w:gridCol w:w="2952"/>
        <w:gridCol w:w="6768"/>
      </w:tblGrid>
      <w:tr>
        <w:tc>
          <w:tcPr>
            <w:tcW w:type="dxa" w:w="5083"/>
            <w:shd w:fill="D9AE4A"/>
          </w:tcPr>
          <w:p>
            <w:r>
              <w:rPr>
                <w:b/>
                <w:sz w:val="17"/>
              </w:rPr>
              <w:t>TRACK</w:t>
            </w:r>
          </w:p>
        </w:tc>
        <w:tc>
          <w:tcPr>
            <w:tcW w:type="dxa" w:w="5083"/>
            <w:shd w:fill="D9AE4A"/>
          </w:tcPr>
          <w:p>
            <w:r>
              <w:rPr>
                <w:b/>
                <w:sz w:val="17"/>
              </w:rPr>
              <w:t>PUBLIC-FACING TOPIC</w:t>
            </w:r>
          </w:p>
        </w:tc>
      </w:tr>
      <w:tr>
        <w:tc>
          <w:tcPr>
            <w:tcW w:type="dxa" w:w="2952"/>
            <w:vAlign w:val="top"/>
          </w:tcPr>
          <w:p>
            <w:r>
              <w:rPr>
                <w:sz w:val="16"/>
              </w:rPr>
              <w:t>Prevention, Gambling &amp; Emerging Risk</w:t>
            </w:r>
          </w:p>
        </w:tc>
        <w:tc>
          <w:tcPr>
            <w:tcW w:type="dxa" w:w="6768"/>
            <w:vAlign w:val="top"/>
          </w:tcPr>
          <w:p>
            <w:r>
              <w:rPr>
                <w:sz w:val="16"/>
              </w:rPr>
              <w:t>Somebody Has to Interrupt the Cycle</w:t>
            </w:r>
          </w:p>
        </w:tc>
      </w:tr>
      <w:tr>
        <w:tc>
          <w:tcPr>
            <w:tcW w:type="dxa" w:w="2952"/>
            <w:vAlign w:val="top"/>
          </w:tcPr>
          <w:p>
            <w:r>
              <w:rPr>
                <w:sz w:val="16"/>
              </w:rPr>
              <w:t>Prevention, Gambling &amp; Emerging Risk</w:t>
            </w:r>
          </w:p>
        </w:tc>
        <w:tc>
          <w:tcPr>
            <w:tcW w:type="dxa" w:w="6768"/>
            <w:vAlign w:val="top"/>
          </w:tcPr>
          <w:p>
            <w:r>
              <w:rPr>
                <w:sz w:val="16"/>
              </w:rPr>
              <w:t>From Fun to Crisis: Gambling Prevention &amp; Education</w:t>
            </w:r>
          </w:p>
        </w:tc>
      </w:tr>
      <w:tr>
        <w:tc>
          <w:tcPr>
            <w:tcW w:type="dxa" w:w="2952"/>
            <w:vAlign w:val="top"/>
          </w:tcPr>
          <w:p>
            <w:r>
              <w:rPr>
                <w:sz w:val="16"/>
              </w:rPr>
              <w:t>Prevention, Gambling &amp; Emerging Risk</w:t>
            </w:r>
          </w:p>
        </w:tc>
        <w:tc>
          <w:tcPr>
            <w:tcW w:type="dxa" w:w="6768"/>
            <w:vAlign w:val="top"/>
          </w:tcPr>
          <w:p>
            <w:r>
              <w:rPr>
                <w:sz w:val="16"/>
              </w:rPr>
              <w:t>Healthy Gaming &amp; Sports: Play Without the Bet</w:t>
            </w:r>
          </w:p>
        </w:tc>
      </w:tr>
      <w:tr>
        <w:tc>
          <w:tcPr>
            <w:tcW w:type="dxa" w:w="2952"/>
            <w:vAlign w:val="top"/>
          </w:tcPr>
          <w:p>
            <w:r>
              <w:rPr>
                <w:sz w:val="16"/>
              </w:rPr>
              <w:t>Prevention, Gambling &amp; Emerging Risk</w:t>
            </w:r>
          </w:p>
        </w:tc>
        <w:tc>
          <w:tcPr>
            <w:tcW w:type="dxa" w:w="6768"/>
            <w:vAlign w:val="top"/>
          </w:tcPr>
          <w:p>
            <w:r>
              <w:rPr>
                <w:sz w:val="16"/>
              </w:rPr>
              <w:t>Gambling as a Public Health Conversation</w:t>
            </w:r>
          </w:p>
        </w:tc>
      </w:tr>
      <w:tr>
        <w:tc>
          <w:tcPr>
            <w:tcW w:type="dxa" w:w="2952"/>
            <w:vAlign w:val="top"/>
          </w:tcPr>
          <w:p>
            <w:r>
              <w:rPr>
                <w:sz w:val="16"/>
              </w:rPr>
              <w:t>Prevention, Gambling &amp; Emerging Risk</w:t>
            </w:r>
          </w:p>
        </w:tc>
        <w:tc>
          <w:tcPr>
            <w:tcW w:type="dxa" w:w="6768"/>
            <w:vAlign w:val="top"/>
          </w:tcPr>
          <w:p>
            <w:r>
              <w:rPr>
                <w:sz w:val="16"/>
              </w:rPr>
              <w:t>Youth Prevention Through Creativity &amp; Art</w:t>
            </w:r>
          </w:p>
        </w:tc>
      </w:tr>
      <w:tr>
        <w:tc>
          <w:tcPr>
            <w:tcW w:type="dxa" w:w="2952"/>
            <w:vAlign w:val="top"/>
          </w:tcPr>
          <w:p>
            <w:r>
              <w:rPr>
                <w:sz w:val="16"/>
              </w:rPr>
              <w:t>Community Engagement &amp; Outreach</w:t>
            </w:r>
          </w:p>
        </w:tc>
        <w:tc>
          <w:tcPr>
            <w:tcW w:type="dxa" w:w="6768"/>
            <w:vAlign w:val="top"/>
          </w:tcPr>
          <w:p>
            <w:r>
              <w:rPr>
                <w:sz w:val="16"/>
              </w:rPr>
              <w:t>The 8 Touchpoints to Engagement</w:t>
            </w:r>
          </w:p>
        </w:tc>
      </w:tr>
      <w:tr>
        <w:tc>
          <w:tcPr>
            <w:tcW w:type="dxa" w:w="2952"/>
            <w:vAlign w:val="top"/>
          </w:tcPr>
          <w:p>
            <w:r>
              <w:rPr>
                <w:sz w:val="16"/>
              </w:rPr>
              <w:t>Community Engagement &amp; Outreach</w:t>
            </w:r>
          </w:p>
        </w:tc>
        <w:tc>
          <w:tcPr>
            <w:tcW w:type="dxa" w:w="6768"/>
            <w:vAlign w:val="top"/>
          </w:tcPr>
          <w:p>
            <w:r>
              <w:rPr>
                <w:sz w:val="16"/>
              </w:rPr>
              <w:t>From Engagement to Outcomes</w:t>
            </w:r>
          </w:p>
        </w:tc>
      </w:tr>
      <w:tr>
        <w:tc>
          <w:tcPr>
            <w:tcW w:type="dxa" w:w="2952"/>
            <w:vAlign w:val="top"/>
          </w:tcPr>
          <w:p>
            <w:r>
              <w:rPr>
                <w:sz w:val="16"/>
              </w:rPr>
              <w:t>Community Engagement &amp; Outreach</w:t>
            </w:r>
          </w:p>
        </w:tc>
        <w:tc>
          <w:tcPr>
            <w:tcW w:type="dxa" w:w="6768"/>
            <w:vAlign w:val="top"/>
          </w:tcPr>
          <w:p>
            <w:r>
              <w:rPr>
                <w:sz w:val="16"/>
              </w:rPr>
              <w:t>Strategic Outreach Planning for Rural Gambling Prevention</w:t>
            </w:r>
          </w:p>
        </w:tc>
      </w:tr>
      <w:tr>
        <w:tc>
          <w:tcPr>
            <w:tcW w:type="dxa" w:w="2952"/>
            <w:vAlign w:val="top"/>
          </w:tcPr>
          <w:p>
            <w:r>
              <w:rPr>
                <w:sz w:val="16"/>
              </w:rPr>
              <w:t>Community Engagement &amp; Outreach</w:t>
            </w:r>
          </w:p>
        </w:tc>
        <w:tc>
          <w:tcPr>
            <w:tcW w:type="dxa" w:w="6768"/>
            <w:vAlign w:val="top"/>
          </w:tcPr>
          <w:p>
            <w:r>
              <w:rPr>
                <w:sz w:val="16"/>
              </w:rPr>
              <w:t>Welcome to Prevention Outreach: Helping People Before Crisis</w:t>
            </w:r>
          </w:p>
        </w:tc>
      </w:tr>
      <w:tr>
        <w:tc>
          <w:tcPr>
            <w:tcW w:type="dxa" w:w="2952"/>
            <w:vAlign w:val="top"/>
          </w:tcPr>
          <w:p>
            <w:r>
              <w:rPr>
                <w:sz w:val="16"/>
              </w:rPr>
              <w:t>Community Engagement &amp; Outreach</w:t>
            </w:r>
          </w:p>
        </w:tc>
        <w:tc>
          <w:tcPr>
            <w:tcW w:type="dxa" w:w="6768"/>
            <w:vAlign w:val="top"/>
          </w:tcPr>
          <w:p>
            <w:r>
              <w:rPr>
                <w:sz w:val="16"/>
              </w:rPr>
              <w:t>Community Talks: Turning Prevention Into a Community Experience</w:t>
            </w:r>
          </w:p>
        </w:tc>
      </w:tr>
      <w:tr>
        <w:tc>
          <w:tcPr>
            <w:tcW w:type="dxa" w:w="2952"/>
            <w:vAlign w:val="top"/>
          </w:tcPr>
          <w:p>
            <w:r>
              <w:rPr>
                <w:sz w:val="16"/>
              </w:rPr>
              <w:t>Human-Centered Systems &amp; Services</w:t>
            </w:r>
          </w:p>
        </w:tc>
        <w:tc>
          <w:tcPr>
            <w:tcW w:type="dxa" w:w="6768"/>
            <w:vAlign w:val="top"/>
          </w:tcPr>
          <w:p>
            <w:r>
              <w:rPr>
                <w:sz w:val="16"/>
              </w:rPr>
              <w:t>The R in the G.E.A.R. Framework(TM): From Referral to Results</w:t>
            </w:r>
          </w:p>
        </w:tc>
      </w:tr>
      <w:tr>
        <w:tc>
          <w:tcPr>
            <w:tcW w:type="dxa" w:w="2952"/>
            <w:vAlign w:val="top"/>
          </w:tcPr>
          <w:p>
            <w:r>
              <w:rPr>
                <w:sz w:val="16"/>
              </w:rPr>
              <w:t>Human-Centered Systems &amp; Services</w:t>
            </w:r>
          </w:p>
        </w:tc>
        <w:tc>
          <w:tcPr>
            <w:tcW w:type="dxa" w:w="6768"/>
            <w:vAlign w:val="top"/>
          </w:tcPr>
          <w:p>
            <w:r>
              <w:rPr>
                <w:sz w:val="16"/>
              </w:rPr>
              <w:t>The G.E.A.R. Model: From Awareness to Referral</w:t>
            </w:r>
          </w:p>
        </w:tc>
      </w:tr>
      <w:tr>
        <w:tc>
          <w:tcPr>
            <w:tcW w:type="dxa" w:w="2952"/>
            <w:vAlign w:val="top"/>
          </w:tcPr>
          <w:p>
            <w:r>
              <w:rPr>
                <w:sz w:val="16"/>
              </w:rPr>
              <w:t>Human-Centered Systems &amp; Services</w:t>
            </w:r>
          </w:p>
        </w:tc>
        <w:tc>
          <w:tcPr>
            <w:tcW w:type="dxa" w:w="6768"/>
            <w:vAlign w:val="top"/>
          </w:tcPr>
          <w:p>
            <w:r>
              <w:rPr>
                <w:sz w:val="16"/>
              </w:rPr>
              <w:t>Human-First Customer Personas in Outreach &amp; Social Services</w:t>
            </w:r>
          </w:p>
        </w:tc>
      </w:tr>
      <w:tr>
        <w:tc>
          <w:tcPr>
            <w:tcW w:type="dxa" w:w="2952"/>
            <w:vAlign w:val="top"/>
          </w:tcPr>
          <w:p>
            <w:r>
              <w:rPr>
                <w:sz w:val="16"/>
              </w:rPr>
              <w:t>Human-Centered Systems &amp; Services</w:t>
            </w:r>
          </w:p>
        </w:tc>
        <w:tc>
          <w:tcPr>
            <w:tcW w:type="dxa" w:w="6768"/>
            <w:vAlign w:val="top"/>
          </w:tcPr>
          <w:p>
            <w:r>
              <w:rPr>
                <w:sz w:val="16"/>
              </w:rPr>
              <w:t>Closing the Healthcare Connection Gap</w:t>
            </w:r>
          </w:p>
        </w:tc>
      </w:tr>
      <w:tr>
        <w:tc>
          <w:tcPr>
            <w:tcW w:type="dxa" w:w="2952"/>
            <w:vAlign w:val="top"/>
          </w:tcPr>
          <w:p>
            <w:r>
              <w:rPr>
                <w:sz w:val="16"/>
              </w:rPr>
              <w:t>Human-Centered Systems &amp; Services</w:t>
            </w:r>
          </w:p>
        </w:tc>
        <w:tc>
          <w:tcPr>
            <w:tcW w:type="dxa" w:w="6768"/>
            <w:vAlign w:val="top"/>
          </w:tcPr>
          <w:p>
            <w:r>
              <w:rPr>
                <w:sz w:val="16"/>
              </w:rPr>
              <w:t>Designing Outreach Around the People You Actually Want to Reach</w:t>
            </w:r>
          </w:p>
        </w:tc>
      </w:tr>
      <w:tr>
        <w:tc>
          <w:tcPr>
            <w:tcW w:type="dxa" w:w="2952"/>
            <w:vAlign w:val="top"/>
          </w:tcPr>
          <w:p>
            <w:r>
              <w:rPr>
                <w:sz w:val="16"/>
              </w:rPr>
              <w:t>Purpose, Leadership &amp; Impact</w:t>
            </w:r>
          </w:p>
        </w:tc>
        <w:tc>
          <w:tcPr>
            <w:tcW w:type="dxa" w:w="6768"/>
            <w:vAlign w:val="top"/>
          </w:tcPr>
          <w:p>
            <w:r>
              <w:rPr>
                <w:sz w:val="16"/>
              </w:rPr>
              <w:t>Silence Is Loud: Advocacy, Storytelling &amp; Speaking Up</w:t>
            </w:r>
          </w:p>
        </w:tc>
      </w:tr>
      <w:tr>
        <w:tc>
          <w:tcPr>
            <w:tcW w:type="dxa" w:w="2952"/>
            <w:vAlign w:val="top"/>
          </w:tcPr>
          <w:p>
            <w:r>
              <w:rPr>
                <w:sz w:val="16"/>
              </w:rPr>
              <w:t>Purpose, Leadership &amp; Impact</w:t>
            </w:r>
          </w:p>
        </w:tc>
        <w:tc>
          <w:tcPr>
            <w:tcW w:type="dxa" w:w="6768"/>
            <w:vAlign w:val="top"/>
          </w:tcPr>
          <w:p>
            <w:r>
              <w:rPr>
                <w:sz w:val="16"/>
              </w:rPr>
              <w:t>He Who Has a WHY: Purpose, Hope &amp; Recovery</w:t>
            </w:r>
          </w:p>
        </w:tc>
      </w:tr>
      <w:tr>
        <w:tc>
          <w:tcPr>
            <w:tcW w:type="dxa" w:w="2952"/>
            <w:vAlign w:val="top"/>
          </w:tcPr>
          <w:p>
            <w:r>
              <w:rPr>
                <w:sz w:val="16"/>
              </w:rPr>
              <w:t>Purpose, Leadership &amp; Impact</w:t>
            </w:r>
          </w:p>
        </w:tc>
        <w:tc>
          <w:tcPr>
            <w:tcW w:type="dxa" w:w="6768"/>
            <w:vAlign w:val="top"/>
          </w:tcPr>
          <w:p>
            <w:r>
              <w:rPr>
                <w:sz w:val="16"/>
              </w:rPr>
              <w:t>Bold &amp; Brilliant: Creating Lasting Community Impact</w:t>
            </w:r>
          </w:p>
        </w:tc>
      </w:tr>
      <w:tr>
        <w:tc>
          <w:tcPr>
            <w:tcW w:type="dxa" w:w="2952"/>
            <w:vAlign w:val="top"/>
          </w:tcPr>
          <w:p>
            <w:r>
              <w:rPr>
                <w:sz w:val="16"/>
              </w:rPr>
              <w:t>Purpose, Leadership &amp; Impact</w:t>
            </w:r>
          </w:p>
        </w:tc>
        <w:tc>
          <w:tcPr>
            <w:tcW w:type="dxa" w:w="6768"/>
            <w:vAlign w:val="top"/>
          </w:tcPr>
          <w:p>
            <w:r>
              <w:rPr>
                <w:sz w:val="16"/>
              </w:rPr>
              <w:t>How I Turn Ideas Into Community Impact</w:t>
            </w:r>
          </w:p>
        </w:tc>
      </w:tr>
      <w:tr>
        <w:tc>
          <w:tcPr>
            <w:tcW w:type="dxa" w:w="2952"/>
            <w:vAlign w:val="top"/>
          </w:tcPr>
          <w:p>
            <w:r>
              <w:rPr>
                <w:sz w:val="16"/>
              </w:rPr>
              <w:t>Purpose, Leadership &amp; Impact</w:t>
            </w:r>
          </w:p>
        </w:tc>
        <w:tc>
          <w:tcPr>
            <w:tcW w:type="dxa" w:w="6768"/>
            <w:vAlign w:val="top"/>
          </w:tcPr>
          <w:p>
            <w:r>
              <w:rPr>
                <w:sz w:val="16"/>
              </w:rPr>
              <w:t>More Than Apparel: A Conversation That Matters</w:t>
            </w:r>
          </w:p>
        </w:tc>
      </w:tr>
    </w:tbl>
    <w:p>
      <w:pPr>
        <w:spacing w:before="160" w:after="80"/>
      </w:pPr>
      <w:r>
        <w:rPr>
          <w:b/>
          <w:color w:val="D9AE4A"/>
          <w:sz w:val="24"/>
        </w:rPr>
        <w:t>FILTERS FOR THE FULL SPEAKING TOPICS PAGE</w:t>
      </w:r>
    </w:p>
    <w:p>
      <w:r>
        <w:t>Recommended filters: use both Audience and Topic Track so organizers can quickly find the most relevant sessions.</w:t>
      </w:r>
    </w:p>
    <w:p>
      <w:r>
        <w:rPr>
          <w:b/>
        </w:rPr>
        <w:t xml:space="preserve">Audience options: </w:t>
      </w:r>
      <w:r>
        <w:t>Youth &amp; Families; Schools &amp; Educators; Behavioral Health &amp; Helping Professionals; Public Health &amp; Prevention; Community Organizations; Leadership &amp; Organizations.</w:t>
      </w:r>
    </w:p>
    <w:p>
      <w:r>
        <w:rPr>
          <w:b/>
        </w:rPr>
        <w:t xml:space="preserve">Topic Track options: </w:t>
      </w:r>
      <w:r>
        <w:t>Prevention, Gambling &amp; Emerging Risk; Community Engagement &amp; Outreach; Human-Centered Systems &amp; Services; Purpose, Leadership &amp; Impact.</w:t>
      </w:r>
    </w:p>
    <w:p>
      <w:pPr>
        <w:spacing w:before="160" w:after="80"/>
      </w:pPr>
      <w:r>
        <w:rPr>
          <w:b/>
          <w:color w:val="D9AE4A"/>
          <w:sz w:val="24"/>
        </w:rPr>
        <w:t>IMPORTANT CONTENT DISTINCTION</w:t>
      </w:r>
    </w:p>
    <w:p>
      <w:r>
        <w:t>Do not publish PowerPoint filenames or internal working-file names as speaking topics. Files such as Strategic_Outreach_Playbook_2026_Full_Deck.pptx, Community Talks Prevention Event Deck, Rule of 7 vs Rule of 8 Touchpoints Slide, and similar materials are source assets. Their ideas can inform the public topic catalog, but the website should present polished session titles that an organizer can understand and book.</w:t>
      </w:r>
    </w:p>
    <w:p>
      <w:pPr>
        <w:spacing w:before="160" w:after="80"/>
      </w:pPr>
      <w:r>
        <w:rPr>
          <w:b/>
          <w:color w:val="D9AE4A"/>
          <w:sz w:val="24"/>
        </w:rPr>
        <w:t>BRAND POSITIONING</w:t>
      </w:r>
    </w:p>
    <w:p>
      <w:r>
        <w:t>Do not title the public page 'GambleFreeGear Presentation Topics.' These topics represent Tiffany Webb's broader speaking platform. GambleFreeGear can be referenced within relevant sessions, including More Than Apparel and the G.E.A.R. Model, while remaining a separate brand.</w:t>
      </w:r>
    </w:p>
    <w:p>
      <w:pPr>
        <w:spacing w:before="160" w:after="80"/>
      </w:pPr>
      <w:r>
        <w:rPr>
          <w:b/>
          <w:color w:val="D9AE4A"/>
          <w:sz w:val="24"/>
        </w:rPr>
        <w:t>SEARCH / PAGE STRUCTURE</w:t>
      </w:r>
    </w:p>
    <w:p>
      <w:pPr>
        <w:ind w:left="259" w:hanging="173"/>
      </w:pPr>
      <w:r>
        <w:rPr>
          <w:b/>
        </w:rPr>
        <w:t xml:space="preserve">• </w:t>
      </w:r>
      <w:r>
        <w:t>Create a dedicated, indexable Speaking Topics page rather than hiding the complete list inside the homepage.</w:t>
      </w:r>
    </w:p>
    <w:p>
      <w:pPr>
        <w:ind w:left="259" w:hanging="173"/>
      </w:pPr>
      <w:r>
        <w:rPr>
          <w:b/>
        </w:rPr>
        <w:t xml:space="preserve">• </w:t>
      </w:r>
      <w:r>
        <w:t>Give each topic a short description, intended audience, available format, and key takeaway as content is finalized.</w:t>
      </w:r>
    </w:p>
    <w:p>
      <w:pPr>
        <w:ind w:left="259" w:hanging="173"/>
      </w:pPr>
      <w:r>
        <w:rPr>
          <w:b/>
        </w:rPr>
        <w:t xml:space="preserve">• </w:t>
      </w:r>
      <w:r>
        <w:t>Use clear text headings and crawlable page copy; do not place the topic catalog only inside images.</w:t>
      </w:r>
    </w:p>
    <w:p>
      <w:pPr>
        <w:ind w:left="259" w:hanging="173"/>
      </w:pPr>
      <w:r>
        <w:rPr>
          <w:b/>
        </w:rPr>
        <w:t xml:space="preserve">• </w:t>
      </w:r>
      <w:r>
        <w:t>Link the four homepage track cards to the relevant filtered section of the full topic page.</w:t>
      </w:r>
    </w:p>
    <w:p>
      <w:pPr>
        <w:ind w:left="259" w:hanging="173"/>
      </w:pPr>
      <w:r>
        <w:rPr>
          <w:b/>
        </w:rPr>
        <w:t xml:space="preserve">• </w:t>
      </w:r>
      <w:r>
        <w:t>Include a clear inquiry CTA for organizers after the topic catalog, such as Start a Conversation or Invite Tiffany to Speak.</w:t>
      </w:r>
    </w:p>
    <w:p>
      <w:pPr>
        <w:spacing w:before="160" w:after="80"/>
      </w:pPr>
      <w:r>
        <w:rPr>
          <w:b/>
          <w:color w:val="D9AE4A"/>
          <w:sz w:val="24"/>
        </w:rPr>
        <w:t>COPY FOR WEBSITE DEVELOPER</w:t>
      </w:r>
    </w:p>
    <w:p>
      <w:r>
        <w:t>Please use four high-level topic cards on the homepage and place the complete 20-topic catalog on a dedicated Speaking Topics page. Allow visitors to filter by audience and topic track, and use polished public-facing session titles rather than internal presentation filenames.</w:t>
      </w:r>
    </w:p>
    <w:sectPr w:rsidR="00FC693F" w:rsidRPr="0006063C" w:rsidSect="00034616">
      <w:pgSz w:w="12240" w:h="15840"/>
      <w:pgMar w:top="720" w:right="1037" w:bottom="720"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