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666666"/>
          <w:sz w:val="26"/>
        </w:rPr>
        <w:t>TIFFANY WEBB</w:t>
      </w:r>
    </w:p>
    <w:p>
      <w:pPr>
        <w:pStyle w:val="Title"/>
        <w:jc w:val="center"/>
      </w:pPr>
      <w:r>
        <w:t>Updated Speaking Topics</w:t>
        <w:br/>
        <w:t>Website Guide</w:t>
      </w:r>
    </w:p>
    <w:p>
      <w:pPr>
        <w:jc w:val="center"/>
      </w:pPr>
      <w:r>
        <w:rPr>
          <w:color w:val="222222"/>
          <w:sz w:val="28"/>
        </w:rPr>
        <w:t>Website Content Questionnaire - Section 4</w:t>
      </w:r>
    </w:p>
    <w:p>
      <w:pPr>
        <w:spacing w:before="240"/>
        <w:jc w:val="center"/>
      </w:pPr>
      <w:r>
        <w:rPr>
          <w:color w:val="666666"/>
          <w:sz w:val="20"/>
        </w:rPr>
        <w:t>20 topics | 4 speaking tracks | Organizer-focused topic architecture</w:t>
      </w:r>
    </w:p>
    <w:p/>
    <w:tbl>
      <w:tblPr>
        <w:tblW w:type="auto" w:w="0"/>
        <w:jc w:val="center"/>
        <w:tblLayout w:type="fixed"/>
        <w:tblLook w:firstColumn="1" w:firstRow="1" w:lastColumn="0" w:lastRow="0" w:noHBand="0" w:noVBand="1" w:val="04A0"/>
      </w:tblPr>
      <w:tblGrid>
        <w:gridCol w:w="9216"/>
      </w:tblGrid>
      <w:tr>
        <w:trPr>
          <w:cantSplit/>
        </w:trPr>
        <w:tc>
          <w:tcPr>
            <w:tcW w:type="dxa" w:w="10224"/>
            <w:shd w:fill="F3EEF8"/>
            <w:vAlign w:val="center"/>
          </w:tcPr>
          <w:p>
            <w:pPr>
              <w:spacing w:after="0"/>
            </w:pPr>
            <w:r/>
            <w:r>
              <w:rPr>
                <w:rFonts w:ascii="Aptos" w:hAnsi="Aptos"/>
                <w:b w:val="0"/>
                <w:color w:val="222222"/>
                <w:sz w:val="20"/>
              </w:rPr>
              <w:t>Purpose: Position Tiffany Webb's speaking platform as a clear, professional catalog that helps organizers quickly understand what she speaks about, who each session serves, and what participants will take away.</w:t>
            </w:r>
          </w:p>
        </w:tc>
      </w:tr>
    </w:tbl>
    <w:p>
      <w:r>
        <w:br w:type="page"/>
      </w:r>
    </w:p>
    <w:p>
      <w:pPr>
        <w:pStyle w:val="Heading1"/>
      </w:pPr>
      <w:r>
        <w:t>1. Core Website Direction</w:t>
      </w:r>
    </w:p>
    <w:p>
      <w:r>
        <w:t>Keep the homepage focused on four high-level speaking tracks. Place the complete 20-topic catalog on a dedicated Speaking Topics page with filters by audience and topic track. Internal presentation filenames and working decks should remain source materials, not public-facing session titles.</w:t>
      </w:r>
    </w:p>
    <w:p>
      <w:pPr>
        <w:pStyle w:val="Heading1"/>
      </w:pPr>
      <w:r>
        <w:t>2. Section 4.1 - Line Introducing the Topics</w:t>
      </w:r>
    </w:p>
    <w:p>
      <w:pPr>
        <w:pStyle w:val="Heading2"/>
      </w:pPr>
      <w:r>
        <w:t>Recommendation: EDIT</w:t>
      </w:r>
    </w:p>
    <w:tbl>
      <w:tblPr>
        <w:tblW w:type="auto" w:w="0"/>
        <w:jc w:val="center"/>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2"/>
              </w:rPr>
              <w:t>Twenty topics across four tracks - connecting prevention, community engagement, human-centered systems, and purpose-driven leadership with practical strategies people can use in the real world.</w:t>
            </w:r>
          </w:p>
        </w:tc>
      </w:tr>
    </w:tbl>
    <w:p>
      <w:r>
        <w:t>Rationale: This line communicates the breadth of the platform more clearly than the previous draft and directly reflects the updated four-track architecture.</w:t>
      </w:r>
    </w:p>
    <w:p>
      <w:pPr>
        <w:pStyle w:val="Heading1"/>
      </w:pPr>
      <w:r>
        <w:t>3. Section 4.2 - Four Track Descriptions</w:t>
      </w:r>
    </w:p>
    <w:p>
      <w:pPr>
        <w:pStyle w:val="Heading2"/>
      </w:pPr>
      <w:r>
        <w:t>Recommendation: EDIT ALL FOUR</w:t>
      </w:r>
    </w:p>
    <w:p>
      <w:pPr>
        <w:spacing w:after="40"/>
      </w:pPr>
      <w:r>
        <w:rPr>
          <w:b/>
          <w:color w:val="5B2A86"/>
          <w:sz w:val="22"/>
        </w:rPr>
        <w:t>1. Prevention, Gambling &amp; Emerging Risk</w:t>
      </w:r>
    </w:p>
    <w:p>
      <w:pPr>
        <w:spacing w:after="140"/>
        <w:ind w:left="259"/>
      </w:pPr>
      <w:r>
        <w:t>Gambling prevention, youth, gaming, sports betting, public-health education, and emerging risks affecting individuals, families, and communities.</w:t>
      </w:r>
    </w:p>
    <w:p>
      <w:pPr>
        <w:spacing w:after="40"/>
      </w:pPr>
      <w:r>
        <w:rPr>
          <w:b/>
          <w:color w:val="5B2A86"/>
          <w:sz w:val="22"/>
        </w:rPr>
        <w:t>2. Community Engagement &amp; Outreach</w:t>
      </w:r>
    </w:p>
    <w:p>
      <w:pPr>
        <w:spacing w:after="140"/>
        <w:ind w:left="259"/>
      </w:pPr>
      <w:r>
        <w:t>Practical approaches to trust-building, outreach strategy, engagement touchpoints, prevention outreach, and turning community contact into meaningful action.</w:t>
      </w:r>
    </w:p>
    <w:p>
      <w:pPr>
        <w:spacing w:after="40"/>
      </w:pPr>
      <w:r>
        <w:rPr>
          <w:b/>
          <w:color w:val="5B2A86"/>
          <w:sz w:val="22"/>
        </w:rPr>
        <w:t>3. Human-Centered Systems &amp; Services</w:t>
      </w:r>
    </w:p>
    <w:p>
      <w:pPr>
        <w:spacing w:after="140"/>
        <w:ind w:left="259"/>
      </w:pPr>
      <w:r>
        <w:t>Referral, connection to care, customer personas, service gaps, and designing outreach and support systems around the people they are intended to reach.</w:t>
      </w:r>
    </w:p>
    <w:p>
      <w:pPr>
        <w:spacing w:after="40"/>
      </w:pPr>
      <w:r>
        <w:rPr>
          <w:b/>
          <w:color w:val="5B2A86"/>
          <w:sz w:val="22"/>
        </w:rPr>
        <w:t>4. Purpose, Leadership &amp; Impact</w:t>
      </w:r>
    </w:p>
    <w:p>
      <w:pPr>
        <w:spacing w:after="140"/>
        <w:ind w:left="259"/>
      </w:pPr>
      <w:r>
        <w:t>Advocacy, storytelling, stigma reduction, purpose, leadership, speaking up, and turning ideas and lived experience into meaningful community impact.</w:t>
      </w:r>
    </w:p>
    <w:p>
      <w:pPr>
        <w:pStyle w:val="Heading1"/>
      </w:pPr>
      <w:r>
        <w:t>4. Section 4.3 - Three Homepage Featured Topics</w:t>
      </w:r>
    </w:p>
    <w:p>
      <w:r>
        <w:t>Recommended strategic homepage features: #2, #6, and #12. These three sessions show the range of Tiffany's platform: core prevention expertise, practical outreach strategy, and an original framework connecting awareness to referral.</w:t>
      </w:r>
    </w:p>
    <w:p>
      <w:pPr>
        <w:pStyle w:val="Heading3"/>
      </w:pPr>
      <w:r>
        <w:t>#2 - From Fun to Crisis: Gambling Prevention &amp; Education</w:t>
      </w:r>
    </w:p>
    <w:p>
      <w:r>
        <w:t>Establishes core gambling-prevention and public-health expertise.</w:t>
      </w:r>
    </w:p>
    <w:p>
      <w:pPr>
        <w:pStyle w:val="Heading3"/>
      </w:pPr>
      <w:r>
        <w:t>#6 - The 8 Touchpoints to Engagement</w:t>
      </w:r>
    </w:p>
    <w:p>
      <w:r>
        <w:t>Shows practical community engagement and outreach strategy.</w:t>
      </w:r>
    </w:p>
    <w:p>
      <w:pPr>
        <w:pStyle w:val="Heading3"/>
      </w:pPr>
      <w:r>
        <w:t>#12 - The G.E.A.R. Model: From Awareness to Referral</w:t>
      </w:r>
    </w:p>
    <w:p>
      <w:r>
        <w:t>Introduces a signature framework that connects awareness, engagement, action, and support.</w:t>
      </w:r>
    </w:p>
    <w:p>
      <w:r>
        <w:rPr>
          <w:b/>
        </w:rPr>
        <w:t xml:space="preserve">Important: </w:t>
      </w:r>
      <w:r>
        <w:t>The available source material does not establish which three topics have historically been requested most often. These are strategic homepage recommendations. Historical booking frequency should be confirmed separately if the questionnaire requires literal 'most requested' sessions.</w:t>
      </w:r>
    </w:p>
    <w:p>
      <w:pPr>
        <w:pStyle w:val="Heading1"/>
      </w:pPr>
      <w:r>
        <w:t>5. Section 4.4 - What Is Missing From the Previous List?</w:t>
      </w:r>
    </w:p>
    <w:p>
      <w:pPr>
        <w:pStyle w:val="Heading2"/>
      </w:pPr>
      <w:r>
        <w:t>Answer: YES - the platform has expanded significantly.</w:t>
      </w:r>
    </w:p>
    <w:p>
      <w:r>
        <w:t>The previous catalog no longer fully represents the scope of Tiffany Webb's speaking work. The updated platform now includes youth prevention, gaming and sports betting, community outreach strategy, engagement systems, referral and service connection, human-centered customer personas, healthcare connection gaps, creativity and art as prevention tools, advocacy, storytelling, leadership, purpose, community impact, and the G.E.A.R. framework.</w:t>
      </w:r>
    </w:p>
    <w:p>
      <w:r>
        <w:t>Recommendation: Replace the previous 20-topic catalog rather than simply adding new titles to it. Internal PowerPoint names, event decks, and working files should be translated into polished, public-facing sessions that an organizer can understand and book.</w:t>
      </w:r>
    </w:p>
    <w:p>
      <w:r>
        <w:br w:type="page"/>
      </w:r>
    </w:p>
    <w:p>
      <w:pPr>
        <w:pStyle w:val="Heading1"/>
      </w:pPr>
      <w:r>
        <w:t>6. Section 4.5 - Updated 20-Topic Catalog</w:t>
      </w:r>
    </w:p>
    <w:p>
      <w:r>
        <w:t>Suggested lengths below are website planning recommendations. Final delivery status and exact running time should be confirmed for each session before publishing.</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vAlign w:val="center"/>
            <w:shd w:fill="5B2A86"/>
          </w:tcPr>
          <w:p>
            <w:pPr>
              <w:spacing w:after="0"/>
            </w:pPr>
            <w:r/>
            <w:r>
              <w:rPr>
                <w:rFonts w:ascii="Aptos" w:hAnsi="Aptos"/>
                <w:b/>
                <w:color w:val="FFFFFF"/>
                <w:sz w:val="16"/>
              </w:rPr>
              <w:t>#</w:t>
            </w:r>
          </w:p>
        </w:tc>
        <w:tc>
          <w:tcPr>
            <w:tcW w:type="dxa" w:w="2556"/>
            <w:vAlign w:val="center"/>
            <w:shd w:fill="5B2A86"/>
          </w:tcPr>
          <w:p>
            <w:pPr>
              <w:spacing w:after="0"/>
            </w:pPr>
            <w:r/>
            <w:r>
              <w:rPr>
                <w:rFonts w:ascii="Aptos" w:hAnsi="Aptos"/>
                <w:b/>
                <w:color w:val="FFFFFF"/>
                <w:sz w:val="16"/>
              </w:rPr>
              <w:t>TOPIC</w:t>
            </w:r>
          </w:p>
        </w:tc>
        <w:tc>
          <w:tcPr>
            <w:tcW w:type="dxa" w:w="2556"/>
            <w:vAlign w:val="center"/>
            <w:shd w:fill="5B2A86"/>
          </w:tcPr>
          <w:p>
            <w:pPr>
              <w:spacing w:after="0"/>
            </w:pPr>
            <w:r/>
            <w:r>
              <w:rPr>
                <w:rFonts w:ascii="Aptos" w:hAnsi="Aptos"/>
                <w:b/>
                <w:color w:val="FFFFFF"/>
                <w:sz w:val="16"/>
              </w:rPr>
              <w:t>LENGTH</w:t>
            </w:r>
          </w:p>
        </w:tc>
        <w:tc>
          <w:tcPr>
            <w:tcW w:type="dxa" w:w="2556"/>
            <w:vAlign w:val="center"/>
            <w:shd w:fill="5B2A86"/>
          </w:tcPr>
          <w:p>
            <w:pPr>
              <w:spacing w:after="0"/>
            </w:pPr>
            <w:r/>
            <w:r>
              <w:rPr>
                <w:rFonts w:ascii="Aptos" w:hAnsi="Aptos"/>
                <w:b/>
                <w:color w:val="FFFFFF"/>
                <w:sz w:val="16"/>
              </w:rPr>
              <w:t>WHAT THEY LEAVE WITH</w:t>
            </w:r>
          </w:p>
        </w:tc>
      </w:tr>
      <w:tr>
        <w:trPr>
          <w:cantSplit/>
        </w:trPr>
        <w:tc>
          <w:tcPr>
            <w:tcW w:type="dxa" w:w="10224"/>
            <w:gridSpan w:val="4"/>
            <w:shd w:fill="F3EEF8"/>
            <w:vAlign w:val="center"/>
          </w:tcPr>
          <w:p>
            <w:pPr>
              <w:spacing w:after="0"/>
            </w:pPr>
            <w:r/>
            <w:r>
              <w:rPr>
                <w:rFonts w:ascii="Aptos" w:hAnsi="Aptos"/>
                <w:b/>
                <w:color w:val="5B2A86"/>
                <w:sz w:val="18"/>
              </w:rPr>
              <w:t>TRACK 1 - PREVENTION, GAMBLING &amp; EMERGING RISK</w:t>
            </w:r>
          </w:p>
        </w:tc>
      </w:tr>
      <w:tr>
        <w:trPr>
          <w:cantSplit/>
        </w:trPr>
        <w:tc>
          <w:tcPr>
            <w:tcW w:type="dxa" w:w="2556"/>
            <w:vAlign w:val="center"/>
          </w:tcPr>
          <w:p>
            <w:pPr>
              <w:spacing w:after="0"/>
              <w:jc w:val="center"/>
            </w:pPr>
            <w:r/>
            <w:r>
              <w:rPr>
                <w:rFonts w:ascii="Aptos" w:hAnsi="Aptos"/>
                <w:b w:val="0"/>
                <w:color w:val="222222"/>
                <w:sz w:val="16"/>
              </w:rPr>
              <w:t>1</w:t>
            </w:r>
          </w:p>
        </w:tc>
        <w:tc>
          <w:tcPr>
            <w:tcW w:type="dxa" w:w="2556"/>
            <w:vAlign w:val="center"/>
          </w:tcPr>
          <w:p>
            <w:pPr>
              <w:spacing w:after="0"/>
            </w:pPr>
            <w:r/>
            <w:r>
              <w:rPr>
                <w:rFonts w:ascii="Aptos" w:hAnsi="Aptos"/>
                <w:b/>
                <w:color w:val="222222"/>
                <w:sz w:val="16"/>
              </w:rPr>
              <w:t>Somebody Has to Interrupt the Cycle</w:t>
            </w:r>
          </w:p>
        </w:tc>
        <w:tc>
          <w:tcPr>
            <w:tcW w:type="dxa" w:w="2556"/>
            <w:vAlign w:val="center"/>
          </w:tcPr>
          <w:p>
            <w:pPr>
              <w:spacing w:after="0"/>
              <w:jc w:val="center"/>
            </w:pPr>
            <w:r/>
            <w:r>
              <w:rPr>
                <w:rFonts w:ascii="Aptos" w:hAnsi="Aptos"/>
                <w:b w:val="0"/>
                <w:color w:val="222222"/>
                <w:sz w:val="16"/>
              </w:rPr>
              <w:t>45-60 min</w:t>
            </w:r>
          </w:p>
        </w:tc>
        <w:tc>
          <w:tcPr>
            <w:tcW w:type="dxa" w:w="2556"/>
            <w:vAlign w:val="center"/>
          </w:tcPr>
          <w:p>
            <w:pPr>
              <w:spacing w:after="0"/>
            </w:pPr>
            <w:r/>
            <w:r>
              <w:rPr>
                <w:rFonts w:ascii="Aptos" w:hAnsi="Aptos"/>
                <w:b w:val="0"/>
                <w:color w:val="222222"/>
                <w:sz w:val="16"/>
              </w:rPr>
              <w:t>How prevention can interrupt gambling harm before it becomes a crisis.</w:t>
            </w:r>
          </w:p>
        </w:tc>
      </w:tr>
      <w:tr>
        <w:trPr>
          <w:cantSplit/>
        </w:trPr>
        <w:tc>
          <w:tcPr>
            <w:tcW w:type="dxa" w:w="2556"/>
            <w:vAlign w:val="center"/>
          </w:tcPr>
          <w:p>
            <w:pPr>
              <w:spacing w:after="0"/>
              <w:jc w:val="center"/>
            </w:pPr>
            <w:r/>
            <w:r>
              <w:rPr>
                <w:rFonts w:ascii="Aptos" w:hAnsi="Aptos"/>
                <w:b w:val="0"/>
                <w:color w:val="222222"/>
                <w:sz w:val="16"/>
              </w:rPr>
              <w:t>2</w:t>
            </w:r>
          </w:p>
        </w:tc>
        <w:tc>
          <w:tcPr>
            <w:tcW w:type="dxa" w:w="2556"/>
            <w:vAlign w:val="center"/>
          </w:tcPr>
          <w:p>
            <w:pPr>
              <w:spacing w:after="0"/>
            </w:pPr>
            <w:r/>
            <w:r>
              <w:rPr>
                <w:rFonts w:ascii="Aptos" w:hAnsi="Aptos"/>
                <w:b/>
                <w:color w:val="222222"/>
                <w:sz w:val="16"/>
              </w:rPr>
              <w:t>From Fun to Crisis: Gambling Prevention &amp; Education</w:t>
            </w:r>
          </w:p>
        </w:tc>
        <w:tc>
          <w:tcPr>
            <w:tcW w:type="dxa" w:w="2556"/>
            <w:vAlign w:val="center"/>
          </w:tcPr>
          <w:p>
            <w:pPr>
              <w:spacing w:after="0"/>
              <w:jc w:val="center"/>
            </w:pPr>
            <w:r/>
            <w:r>
              <w:rPr>
                <w:rFonts w:ascii="Aptos" w:hAnsi="Aptos"/>
                <w:b w:val="0"/>
                <w:color w:val="222222"/>
                <w:sz w:val="16"/>
              </w:rPr>
              <w:t>45-60 min</w:t>
            </w:r>
          </w:p>
        </w:tc>
        <w:tc>
          <w:tcPr>
            <w:tcW w:type="dxa" w:w="2556"/>
            <w:vAlign w:val="center"/>
          </w:tcPr>
          <w:p>
            <w:pPr>
              <w:spacing w:after="0"/>
            </w:pPr>
            <w:r/>
            <w:r>
              <w:rPr>
                <w:rFonts w:ascii="Aptos" w:hAnsi="Aptos"/>
                <w:b w:val="0"/>
                <w:color w:val="222222"/>
                <w:sz w:val="16"/>
              </w:rPr>
              <w:t>How everyday gambling can progress toward harm and where prevention fits.</w:t>
            </w:r>
          </w:p>
        </w:tc>
      </w:tr>
      <w:tr>
        <w:trPr>
          <w:cantSplit/>
        </w:trPr>
        <w:tc>
          <w:tcPr>
            <w:tcW w:type="dxa" w:w="2556"/>
            <w:vAlign w:val="center"/>
          </w:tcPr>
          <w:p>
            <w:pPr>
              <w:spacing w:after="0"/>
              <w:jc w:val="center"/>
            </w:pPr>
            <w:r/>
            <w:r>
              <w:rPr>
                <w:rFonts w:ascii="Aptos" w:hAnsi="Aptos"/>
                <w:b w:val="0"/>
                <w:color w:val="222222"/>
                <w:sz w:val="16"/>
              </w:rPr>
              <w:t>3</w:t>
            </w:r>
          </w:p>
        </w:tc>
        <w:tc>
          <w:tcPr>
            <w:tcW w:type="dxa" w:w="2556"/>
            <w:vAlign w:val="center"/>
          </w:tcPr>
          <w:p>
            <w:pPr>
              <w:spacing w:after="0"/>
            </w:pPr>
            <w:r/>
            <w:r>
              <w:rPr>
                <w:rFonts w:ascii="Aptos" w:hAnsi="Aptos"/>
                <w:b/>
                <w:color w:val="222222"/>
                <w:sz w:val="16"/>
              </w:rPr>
              <w:t>Healthy Gaming &amp; Sports: Play Without the Bet</w:t>
            </w:r>
          </w:p>
        </w:tc>
        <w:tc>
          <w:tcPr>
            <w:tcW w:type="dxa" w:w="2556"/>
            <w:vAlign w:val="center"/>
          </w:tcPr>
          <w:p>
            <w:pPr>
              <w:spacing w:after="0"/>
              <w:jc w:val="center"/>
            </w:pPr>
            <w:r/>
            <w:r>
              <w:rPr>
                <w:rFonts w:ascii="Aptos" w:hAnsi="Aptos"/>
                <w:b w:val="0"/>
                <w:color w:val="222222"/>
                <w:sz w:val="16"/>
              </w:rPr>
              <w:t>30-60 min</w:t>
            </w:r>
          </w:p>
        </w:tc>
        <w:tc>
          <w:tcPr>
            <w:tcW w:type="dxa" w:w="2556"/>
            <w:vAlign w:val="center"/>
          </w:tcPr>
          <w:p>
            <w:pPr>
              <w:spacing w:after="0"/>
            </w:pPr>
            <w:r/>
            <w:r>
              <w:rPr>
                <w:rFonts w:ascii="Aptos" w:hAnsi="Aptos"/>
                <w:b w:val="0"/>
                <w:color w:val="222222"/>
                <w:sz w:val="16"/>
              </w:rPr>
              <w:t>Ways to enjoy gaming and sports while separating play, fandom, and competition from betting.</w:t>
            </w:r>
          </w:p>
        </w:tc>
      </w:tr>
      <w:tr>
        <w:trPr>
          <w:cantSplit/>
        </w:trPr>
        <w:tc>
          <w:tcPr>
            <w:tcW w:type="dxa" w:w="2556"/>
            <w:vAlign w:val="center"/>
          </w:tcPr>
          <w:p>
            <w:pPr>
              <w:spacing w:after="0"/>
              <w:jc w:val="center"/>
            </w:pPr>
            <w:r/>
            <w:r>
              <w:rPr>
                <w:rFonts w:ascii="Aptos" w:hAnsi="Aptos"/>
                <w:b w:val="0"/>
                <w:color w:val="222222"/>
                <w:sz w:val="16"/>
              </w:rPr>
              <w:t>4</w:t>
            </w:r>
          </w:p>
        </w:tc>
        <w:tc>
          <w:tcPr>
            <w:tcW w:type="dxa" w:w="2556"/>
            <w:vAlign w:val="center"/>
          </w:tcPr>
          <w:p>
            <w:pPr>
              <w:spacing w:after="0"/>
            </w:pPr>
            <w:r/>
            <w:r>
              <w:rPr>
                <w:rFonts w:ascii="Aptos" w:hAnsi="Aptos"/>
                <w:b/>
                <w:color w:val="222222"/>
                <w:sz w:val="16"/>
              </w:rPr>
              <w:t>Gambling as a Public Health Conversation</w:t>
            </w:r>
          </w:p>
        </w:tc>
        <w:tc>
          <w:tcPr>
            <w:tcW w:type="dxa" w:w="2556"/>
            <w:vAlign w:val="center"/>
          </w:tcPr>
          <w:p>
            <w:pPr>
              <w:spacing w:after="0"/>
              <w:jc w:val="center"/>
            </w:pPr>
            <w:r/>
            <w:r>
              <w:rPr>
                <w:rFonts w:ascii="Aptos" w:hAnsi="Aptos"/>
                <w:b w:val="0"/>
                <w:color w:val="222222"/>
                <w:sz w:val="16"/>
              </w:rPr>
              <w:t>45-60 min</w:t>
            </w:r>
          </w:p>
        </w:tc>
        <w:tc>
          <w:tcPr>
            <w:tcW w:type="dxa" w:w="2556"/>
            <w:vAlign w:val="center"/>
          </w:tcPr>
          <w:p>
            <w:pPr>
              <w:spacing w:after="0"/>
            </w:pPr>
            <w:r/>
            <w:r>
              <w:rPr>
                <w:rFonts w:ascii="Aptos" w:hAnsi="Aptos"/>
                <w:b w:val="0"/>
                <w:color w:val="222222"/>
                <w:sz w:val="16"/>
              </w:rPr>
              <w:t>A broader understanding of gambling harm beyond individual behavior or addiction alone.</w:t>
            </w:r>
          </w:p>
        </w:tc>
      </w:tr>
      <w:tr>
        <w:trPr>
          <w:cantSplit/>
        </w:trPr>
        <w:tc>
          <w:tcPr>
            <w:tcW w:type="dxa" w:w="2556"/>
            <w:vAlign w:val="center"/>
          </w:tcPr>
          <w:p>
            <w:pPr>
              <w:spacing w:after="0"/>
              <w:jc w:val="center"/>
            </w:pPr>
            <w:r/>
            <w:r>
              <w:rPr>
                <w:rFonts w:ascii="Aptos" w:hAnsi="Aptos"/>
                <w:b w:val="0"/>
                <w:color w:val="222222"/>
                <w:sz w:val="16"/>
              </w:rPr>
              <w:t>5</w:t>
            </w:r>
          </w:p>
        </w:tc>
        <w:tc>
          <w:tcPr>
            <w:tcW w:type="dxa" w:w="2556"/>
            <w:vAlign w:val="center"/>
          </w:tcPr>
          <w:p>
            <w:pPr>
              <w:spacing w:after="0"/>
            </w:pPr>
            <w:r/>
            <w:r>
              <w:rPr>
                <w:rFonts w:ascii="Aptos" w:hAnsi="Aptos"/>
                <w:b/>
                <w:color w:val="222222"/>
                <w:sz w:val="16"/>
              </w:rPr>
              <w:t>Youth Prevention Through Creativity &amp; Art</w:t>
            </w:r>
          </w:p>
        </w:tc>
        <w:tc>
          <w:tcPr>
            <w:tcW w:type="dxa" w:w="2556"/>
            <w:vAlign w:val="center"/>
          </w:tcPr>
          <w:p>
            <w:pPr>
              <w:spacing w:after="0"/>
              <w:jc w:val="center"/>
            </w:pPr>
            <w:r/>
            <w:r>
              <w:rPr>
                <w:rFonts w:ascii="Aptos" w:hAnsi="Aptos"/>
                <w:b w:val="0"/>
                <w:color w:val="222222"/>
                <w:sz w:val="16"/>
              </w:rPr>
              <w:t>45-90 min</w:t>
            </w:r>
          </w:p>
        </w:tc>
        <w:tc>
          <w:tcPr>
            <w:tcW w:type="dxa" w:w="2556"/>
            <w:vAlign w:val="center"/>
          </w:tcPr>
          <w:p>
            <w:pPr>
              <w:spacing w:after="0"/>
            </w:pPr>
            <w:r/>
            <w:r>
              <w:rPr>
                <w:rFonts w:ascii="Aptos" w:hAnsi="Aptos"/>
                <w:b w:val="0"/>
                <w:color w:val="222222"/>
                <w:sz w:val="16"/>
              </w:rPr>
              <w:t>Ideas for making prevention engaging, participatory, and meaningful to young people.</w:t>
            </w:r>
          </w:p>
        </w:tc>
      </w:tr>
      <w:tr>
        <w:trPr>
          <w:cantSplit/>
        </w:trPr>
        <w:tc>
          <w:tcPr>
            <w:tcW w:type="dxa" w:w="10224"/>
            <w:gridSpan w:val="4"/>
            <w:shd w:fill="F3EEF8"/>
            <w:vAlign w:val="center"/>
          </w:tcPr>
          <w:p>
            <w:pPr>
              <w:spacing w:after="0"/>
            </w:pPr>
            <w:r/>
            <w:r>
              <w:rPr>
                <w:rFonts w:ascii="Aptos" w:hAnsi="Aptos"/>
                <w:b/>
                <w:color w:val="5B2A86"/>
                <w:sz w:val="18"/>
              </w:rPr>
              <w:t>TRACK 2 - COMMUNITY ENGAGEMENT &amp; OUTREACH</w:t>
            </w:r>
          </w:p>
        </w:tc>
      </w:tr>
      <w:tr>
        <w:trPr>
          <w:cantSplit/>
        </w:trPr>
        <w:tc>
          <w:tcPr>
            <w:tcW w:type="dxa" w:w="2556"/>
            <w:vAlign w:val="center"/>
          </w:tcPr>
          <w:p>
            <w:pPr>
              <w:spacing w:after="0"/>
              <w:jc w:val="center"/>
            </w:pPr>
            <w:r/>
            <w:r>
              <w:rPr>
                <w:rFonts w:ascii="Aptos" w:hAnsi="Aptos"/>
                <w:b w:val="0"/>
                <w:color w:val="222222"/>
                <w:sz w:val="16"/>
              </w:rPr>
              <w:t>6</w:t>
            </w:r>
          </w:p>
        </w:tc>
        <w:tc>
          <w:tcPr>
            <w:tcW w:type="dxa" w:w="2556"/>
            <w:vAlign w:val="center"/>
          </w:tcPr>
          <w:p>
            <w:pPr>
              <w:spacing w:after="0"/>
            </w:pPr>
            <w:r/>
            <w:r>
              <w:rPr>
                <w:rFonts w:ascii="Aptos" w:hAnsi="Aptos"/>
                <w:b/>
                <w:color w:val="222222"/>
                <w:sz w:val="16"/>
              </w:rPr>
              <w:t>The 8 Touchpoints to Engagement</w:t>
            </w:r>
          </w:p>
        </w:tc>
        <w:tc>
          <w:tcPr>
            <w:tcW w:type="dxa" w:w="2556"/>
            <w:vAlign w:val="center"/>
          </w:tcPr>
          <w:p>
            <w:pPr>
              <w:spacing w:after="0"/>
              <w:jc w:val="center"/>
            </w:pPr>
            <w:r/>
            <w:r>
              <w:rPr>
                <w:rFonts w:ascii="Aptos" w:hAnsi="Aptos"/>
                <w:b w:val="0"/>
                <w:color w:val="222222"/>
                <w:sz w:val="16"/>
              </w:rPr>
              <w:t>45-60 min</w:t>
            </w:r>
          </w:p>
        </w:tc>
        <w:tc>
          <w:tcPr>
            <w:tcW w:type="dxa" w:w="2556"/>
            <w:vAlign w:val="center"/>
          </w:tcPr>
          <w:p>
            <w:pPr>
              <w:spacing w:after="0"/>
            </w:pPr>
            <w:r/>
            <w:r>
              <w:rPr>
                <w:rFonts w:ascii="Aptos" w:hAnsi="Aptos"/>
                <w:b w:val="0"/>
                <w:color w:val="222222"/>
                <w:sz w:val="16"/>
              </w:rPr>
              <w:t>A repeatable framework for moving people from first contact toward meaningful engagement.</w:t>
            </w:r>
          </w:p>
        </w:tc>
      </w:tr>
      <w:tr>
        <w:trPr>
          <w:cantSplit/>
        </w:trPr>
        <w:tc>
          <w:tcPr>
            <w:tcW w:type="dxa" w:w="2556"/>
            <w:vAlign w:val="center"/>
          </w:tcPr>
          <w:p>
            <w:pPr>
              <w:spacing w:after="0"/>
              <w:jc w:val="center"/>
            </w:pPr>
            <w:r/>
            <w:r>
              <w:rPr>
                <w:rFonts w:ascii="Aptos" w:hAnsi="Aptos"/>
                <w:b w:val="0"/>
                <w:color w:val="222222"/>
                <w:sz w:val="16"/>
              </w:rPr>
              <w:t>7</w:t>
            </w:r>
          </w:p>
        </w:tc>
        <w:tc>
          <w:tcPr>
            <w:tcW w:type="dxa" w:w="2556"/>
            <w:vAlign w:val="center"/>
          </w:tcPr>
          <w:p>
            <w:pPr>
              <w:spacing w:after="0"/>
            </w:pPr>
            <w:r/>
            <w:r>
              <w:rPr>
                <w:rFonts w:ascii="Aptos" w:hAnsi="Aptos"/>
                <w:b/>
                <w:color w:val="222222"/>
                <w:sz w:val="16"/>
              </w:rPr>
              <w:t>From Engagement to Outcomes</w:t>
            </w:r>
          </w:p>
        </w:tc>
        <w:tc>
          <w:tcPr>
            <w:tcW w:type="dxa" w:w="2556"/>
            <w:vAlign w:val="center"/>
          </w:tcPr>
          <w:p>
            <w:pPr>
              <w:spacing w:after="0"/>
              <w:jc w:val="center"/>
            </w:pPr>
            <w:r/>
            <w:r>
              <w:rPr>
                <w:rFonts w:ascii="Aptos" w:hAnsi="Aptos"/>
                <w:b w:val="0"/>
                <w:color w:val="222222"/>
                <w:sz w:val="16"/>
              </w:rPr>
              <w:t>45-60 min</w:t>
            </w:r>
          </w:p>
        </w:tc>
        <w:tc>
          <w:tcPr>
            <w:tcW w:type="dxa" w:w="2556"/>
            <w:vAlign w:val="center"/>
          </w:tcPr>
          <w:p>
            <w:pPr>
              <w:spacing w:after="0"/>
            </w:pPr>
            <w:r/>
            <w:r>
              <w:rPr>
                <w:rFonts w:ascii="Aptos" w:hAnsi="Aptos"/>
                <w:b w:val="0"/>
                <w:color w:val="222222"/>
                <w:sz w:val="16"/>
              </w:rPr>
              <w:t>How outreach activity connects to measurable prevention outcomes.</w:t>
            </w:r>
          </w:p>
        </w:tc>
      </w:tr>
      <w:tr>
        <w:trPr>
          <w:cantSplit/>
        </w:trPr>
        <w:tc>
          <w:tcPr>
            <w:tcW w:type="dxa" w:w="2556"/>
            <w:vAlign w:val="center"/>
          </w:tcPr>
          <w:p>
            <w:pPr>
              <w:spacing w:after="0"/>
              <w:jc w:val="center"/>
            </w:pPr>
            <w:r/>
            <w:r>
              <w:rPr>
                <w:rFonts w:ascii="Aptos" w:hAnsi="Aptos"/>
                <w:b w:val="0"/>
                <w:color w:val="222222"/>
                <w:sz w:val="16"/>
              </w:rPr>
              <w:t>8</w:t>
            </w:r>
          </w:p>
        </w:tc>
        <w:tc>
          <w:tcPr>
            <w:tcW w:type="dxa" w:w="2556"/>
            <w:vAlign w:val="center"/>
          </w:tcPr>
          <w:p>
            <w:pPr>
              <w:spacing w:after="0"/>
            </w:pPr>
            <w:r/>
            <w:r>
              <w:rPr>
                <w:rFonts w:ascii="Aptos" w:hAnsi="Aptos"/>
                <w:b/>
                <w:color w:val="222222"/>
                <w:sz w:val="16"/>
              </w:rPr>
              <w:t>Strategic Outreach Planning for Rural Gambling Prevention</w:t>
            </w:r>
          </w:p>
        </w:tc>
        <w:tc>
          <w:tcPr>
            <w:tcW w:type="dxa" w:w="2556"/>
            <w:vAlign w:val="center"/>
          </w:tcPr>
          <w:p>
            <w:pPr>
              <w:spacing w:after="0"/>
              <w:jc w:val="center"/>
            </w:pPr>
            <w:r/>
            <w:r>
              <w:rPr>
                <w:rFonts w:ascii="Aptos" w:hAnsi="Aptos"/>
                <w:b w:val="0"/>
                <w:color w:val="222222"/>
                <w:sz w:val="16"/>
              </w:rPr>
              <w:t>60-90 min</w:t>
            </w:r>
          </w:p>
        </w:tc>
        <w:tc>
          <w:tcPr>
            <w:tcW w:type="dxa" w:w="2556"/>
            <w:vAlign w:val="center"/>
          </w:tcPr>
          <w:p>
            <w:pPr>
              <w:spacing w:after="0"/>
            </w:pPr>
            <w:r/>
            <w:r>
              <w:rPr>
                <w:rFonts w:ascii="Aptos" w:hAnsi="Aptos"/>
                <w:b w:val="0"/>
                <w:color w:val="222222"/>
                <w:sz w:val="16"/>
              </w:rPr>
              <w:t>A practical planning framework for communities with limited resources and service access.</w:t>
            </w:r>
          </w:p>
        </w:tc>
      </w:tr>
      <w:tr>
        <w:trPr>
          <w:cantSplit/>
        </w:trPr>
        <w:tc>
          <w:tcPr>
            <w:tcW w:type="dxa" w:w="2556"/>
            <w:vAlign w:val="center"/>
          </w:tcPr>
          <w:p>
            <w:pPr>
              <w:spacing w:after="0"/>
              <w:jc w:val="center"/>
            </w:pPr>
            <w:r/>
            <w:r>
              <w:rPr>
                <w:rFonts w:ascii="Aptos" w:hAnsi="Aptos"/>
                <w:b w:val="0"/>
                <w:color w:val="222222"/>
                <w:sz w:val="16"/>
              </w:rPr>
              <w:t>9</w:t>
            </w:r>
          </w:p>
        </w:tc>
        <w:tc>
          <w:tcPr>
            <w:tcW w:type="dxa" w:w="2556"/>
            <w:vAlign w:val="center"/>
          </w:tcPr>
          <w:p>
            <w:pPr>
              <w:spacing w:after="0"/>
            </w:pPr>
            <w:r/>
            <w:r>
              <w:rPr>
                <w:rFonts w:ascii="Aptos" w:hAnsi="Aptos"/>
                <w:b/>
                <w:color w:val="222222"/>
                <w:sz w:val="16"/>
              </w:rPr>
              <w:t>Welcome to Prevention Outreach: Helping People Before Crisis</w:t>
            </w:r>
          </w:p>
        </w:tc>
        <w:tc>
          <w:tcPr>
            <w:tcW w:type="dxa" w:w="2556"/>
            <w:vAlign w:val="center"/>
          </w:tcPr>
          <w:p>
            <w:pPr>
              <w:spacing w:after="0"/>
              <w:jc w:val="center"/>
            </w:pPr>
            <w:r/>
            <w:r>
              <w:rPr>
                <w:rFonts w:ascii="Aptos" w:hAnsi="Aptos"/>
                <w:b w:val="0"/>
                <w:color w:val="222222"/>
                <w:sz w:val="16"/>
              </w:rPr>
              <w:t>45-60 min</w:t>
            </w:r>
          </w:p>
        </w:tc>
        <w:tc>
          <w:tcPr>
            <w:tcW w:type="dxa" w:w="2556"/>
            <w:vAlign w:val="center"/>
          </w:tcPr>
          <w:p>
            <w:pPr>
              <w:spacing w:after="0"/>
            </w:pPr>
            <w:r/>
            <w:r>
              <w:rPr>
                <w:rFonts w:ascii="Aptos" w:hAnsi="Aptos"/>
                <w:b w:val="0"/>
                <w:color w:val="222222"/>
                <w:sz w:val="16"/>
              </w:rPr>
              <w:t>A prevention-first approach to reaching people before crisis or treatment.</w:t>
            </w:r>
          </w:p>
        </w:tc>
      </w:tr>
      <w:tr>
        <w:trPr>
          <w:cantSplit/>
        </w:trPr>
        <w:tc>
          <w:tcPr>
            <w:tcW w:type="dxa" w:w="2556"/>
            <w:vAlign w:val="center"/>
          </w:tcPr>
          <w:p>
            <w:pPr>
              <w:spacing w:after="0"/>
              <w:jc w:val="center"/>
            </w:pPr>
            <w:r/>
            <w:r>
              <w:rPr>
                <w:rFonts w:ascii="Aptos" w:hAnsi="Aptos"/>
                <w:b w:val="0"/>
                <w:color w:val="222222"/>
                <w:sz w:val="16"/>
              </w:rPr>
              <w:t>10</w:t>
            </w:r>
          </w:p>
        </w:tc>
        <w:tc>
          <w:tcPr>
            <w:tcW w:type="dxa" w:w="2556"/>
            <w:vAlign w:val="center"/>
          </w:tcPr>
          <w:p>
            <w:pPr>
              <w:spacing w:after="0"/>
            </w:pPr>
            <w:r/>
            <w:r>
              <w:rPr>
                <w:rFonts w:ascii="Aptos" w:hAnsi="Aptos"/>
                <w:b/>
                <w:color w:val="222222"/>
                <w:sz w:val="16"/>
              </w:rPr>
              <w:t>Community Talks: Turning Prevention Into a Community Experience</w:t>
            </w:r>
          </w:p>
        </w:tc>
        <w:tc>
          <w:tcPr>
            <w:tcW w:type="dxa" w:w="2556"/>
            <w:vAlign w:val="center"/>
          </w:tcPr>
          <w:p>
            <w:pPr>
              <w:spacing w:after="0"/>
              <w:jc w:val="center"/>
            </w:pPr>
            <w:r/>
            <w:r>
              <w:rPr>
                <w:rFonts w:ascii="Aptos" w:hAnsi="Aptos"/>
                <w:b w:val="0"/>
                <w:color w:val="222222"/>
                <w:sz w:val="16"/>
              </w:rPr>
              <w:t>45-60 min</w:t>
            </w:r>
          </w:p>
        </w:tc>
        <w:tc>
          <w:tcPr>
            <w:tcW w:type="dxa" w:w="2556"/>
            <w:vAlign w:val="center"/>
          </w:tcPr>
          <w:p>
            <w:pPr>
              <w:spacing w:after="0"/>
            </w:pPr>
            <w:r/>
            <w:r>
              <w:rPr>
                <w:rFonts w:ascii="Aptos" w:hAnsi="Aptos"/>
                <w:b w:val="0"/>
                <w:color w:val="222222"/>
                <w:sz w:val="16"/>
              </w:rPr>
              <w:t>A blueprint for moving prevention beyond presentations into interactive experiences.</w:t>
            </w:r>
          </w:p>
        </w:tc>
      </w:tr>
      <w:tr>
        <w:trPr>
          <w:cantSplit/>
        </w:trPr>
        <w:tc>
          <w:tcPr>
            <w:tcW w:type="dxa" w:w="10224"/>
            <w:gridSpan w:val="4"/>
            <w:shd w:fill="F3EEF8"/>
            <w:vAlign w:val="center"/>
          </w:tcPr>
          <w:p>
            <w:pPr>
              <w:spacing w:after="0"/>
            </w:pPr>
            <w:r/>
            <w:r>
              <w:rPr>
                <w:rFonts w:ascii="Aptos" w:hAnsi="Aptos"/>
                <w:b/>
                <w:color w:val="5B2A86"/>
                <w:sz w:val="18"/>
              </w:rPr>
              <w:t>TRACK 3 - HUMAN-CENTERED SYSTEMS &amp; SERVICES</w:t>
            </w:r>
          </w:p>
        </w:tc>
      </w:tr>
      <w:tr>
        <w:trPr>
          <w:cantSplit/>
        </w:trPr>
        <w:tc>
          <w:tcPr>
            <w:tcW w:type="dxa" w:w="2556"/>
            <w:vAlign w:val="center"/>
          </w:tcPr>
          <w:p>
            <w:pPr>
              <w:spacing w:after="0"/>
              <w:jc w:val="center"/>
            </w:pPr>
            <w:r/>
            <w:r>
              <w:rPr>
                <w:rFonts w:ascii="Aptos" w:hAnsi="Aptos"/>
                <w:b w:val="0"/>
                <w:color w:val="222222"/>
                <w:sz w:val="16"/>
              </w:rPr>
              <w:t>11</w:t>
            </w:r>
          </w:p>
        </w:tc>
        <w:tc>
          <w:tcPr>
            <w:tcW w:type="dxa" w:w="2556"/>
            <w:vAlign w:val="center"/>
          </w:tcPr>
          <w:p>
            <w:pPr>
              <w:spacing w:after="0"/>
            </w:pPr>
            <w:r/>
            <w:r>
              <w:rPr>
                <w:rFonts w:ascii="Aptos" w:hAnsi="Aptos"/>
                <w:b/>
                <w:color w:val="222222"/>
                <w:sz w:val="16"/>
              </w:rPr>
              <w:t>The R in the G.E.A.R. Framework(TM): From Referral to Results</w:t>
            </w:r>
          </w:p>
        </w:tc>
        <w:tc>
          <w:tcPr>
            <w:tcW w:type="dxa" w:w="2556"/>
            <w:vAlign w:val="center"/>
          </w:tcPr>
          <w:p>
            <w:pPr>
              <w:spacing w:after="0"/>
              <w:jc w:val="center"/>
            </w:pPr>
            <w:r/>
            <w:r>
              <w:rPr>
                <w:rFonts w:ascii="Aptos" w:hAnsi="Aptos"/>
                <w:b w:val="0"/>
                <w:color w:val="222222"/>
                <w:sz w:val="16"/>
              </w:rPr>
              <w:t>45-60 min</w:t>
            </w:r>
          </w:p>
        </w:tc>
        <w:tc>
          <w:tcPr>
            <w:tcW w:type="dxa" w:w="2556"/>
            <w:vAlign w:val="center"/>
          </w:tcPr>
          <w:p>
            <w:pPr>
              <w:spacing w:after="0"/>
            </w:pPr>
            <w:r/>
            <w:r>
              <w:rPr>
                <w:rFonts w:ascii="Aptos" w:hAnsi="Aptos"/>
                <w:b w:val="0"/>
                <w:color w:val="222222"/>
                <w:sz w:val="16"/>
              </w:rPr>
              <w:t>Strategies for making referrals more intentional, human, and connected to outcomes.</w:t>
            </w:r>
          </w:p>
        </w:tc>
      </w:tr>
      <w:tr>
        <w:trPr>
          <w:cantSplit/>
        </w:trPr>
        <w:tc>
          <w:tcPr>
            <w:tcW w:type="dxa" w:w="2556"/>
            <w:vAlign w:val="center"/>
          </w:tcPr>
          <w:p>
            <w:pPr>
              <w:spacing w:after="0"/>
              <w:jc w:val="center"/>
            </w:pPr>
            <w:r/>
            <w:r>
              <w:rPr>
                <w:rFonts w:ascii="Aptos" w:hAnsi="Aptos"/>
                <w:b w:val="0"/>
                <w:color w:val="222222"/>
                <w:sz w:val="16"/>
              </w:rPr>
              <w:t>12</w:t>
            </w:r>
          </w:p>
        </w:tc>
        <w:tc>
          <w:tcPr>
            <w:tcW w:type="dxa" w:w="2556"/>
            <w:vAlign w:val="center"/>
          </w:tcPr>
          <w:p>
            <w:pPr>
              <w:spacing w:after="0"/>
            </w:pPr>
            <w:r/>
            <w:r>
              <w:rPr>
                <w:rFonts w:ascii="Aptos" w:hAnsi="Aptos"/>
                <w:b/>
                <w:color w:val="222222"/>
                <w:sz w:val="16"/>
              </w:rPr>
              <w:t>The G.E.A.R. Model: From Awareness to Referral</w:t>
            </w:r>
          </w:p>
        </w:tc>
        <w:tc>
          <w:tcPr>
            <w:tcW w:type="dxa" w:w="2556"/>
            <w:vAlign w:val="center"/>
          </w:tcPr>
          <w:p>
            <w:pPr>
              <w:spacing w:after="0"/>
              <w:jc w:val="center"/>
            </w:pPr>
            <w:r/>
            <w:r>
              <w:rPr>
                <w:rFonts w:ascii="Aptos" w:hAnsi="Aptos"/>
                <w:b w:val="0"/>
                <w:color w:val="222222"/>
                <w:sz w:val="16"/>
              </w:rPr>
              <w:t>45-60 min</w:t>
            </w:r>
          </w:p>
        </w:tc>
        <w:tc>
          <w:tcPr>
            <w:tcW w:type="dxa" w:w="2556"/>
            <w:vAlign w:val="center"/>
          </w:tcPr>
          <w:p>
            <w:pPr>
              <w:spacing w:after="0"/>
            </w:pPr>
            <w:r/>
            <w:r>
              <w:rPr>
                <w:rFonts w:ascii="Aptos" w:hAnsi="Aptos"/>
                <w:b w:val="0"/>
                <w:color w:val="222222"/>
                <w:sz w:val="16"/>
              </w:rPr>
              <w:t>A practical framework for moving awareness into engagement, action, and connection to support.</w:t>
            </w:r>
          </w:p>
        </w:tc>
      </w:tr>
      <w:tr>
        <w:trPr>
          <w:cantSplit/>
        </w:trPr>
        <w:tc>
          <w:tcPr>
            <w:tcW w:type="dxa" w:w="2556"/>
            <w:vAlign w:val="center"/>
          </w:tcPr>
          <w:p>
            <w:pPr>
              <w:spacing w:after="0"/>
              <w:jc w:val="center"/>
            </w:pPr>
            <w:r/>
            <w:r>
              <w:rPr>
                <w:rFonts w:ascii="Aptos" w:hAnsi="Aptos"/>
                <w:b w:val="0"/>
                <w:color w:val="222222"/>
                <w:sz w:val="16"/>
              </w:rPr>
              <w:t>13</w:t>
            </w:r>
          </w:p>
        </w:tc>
        <w:tc>
          <w:tcPr>
            <w:tcW w:type="dxa" w:w="2556"/>
            <w:vAlign w:val="center"/>
          </w:tcPr>
          <w:p>
            <w:pPr>
              <w:spacing w:after="0"/>
            </w:pPr>
            <w:r/>
            <w:r>
              <w:rPr>
                <w:rFonts w:ascii="Aptos" w:hAnsi="Aptos"/>
                <w:b/>
                <w:color w:val="222222"/>
                <w:sz w:val="16"/>
              </w:rPr>
              <w:t>Human-First Customer Personas in Outreach &amp; Social Services</w:t>
            </w:r>
          </w:p>
        </w:tc>
        <w:tc>
          <w:tcPr>
            <w:tcW w:type="dxa" w:w="2556"/>
            <w:vAlign w:val="center"/>
          </w:tcPr>
          <w:p>
            <w:pPr>
              <w:spacing w:after="0"/>
              <w:jc w:val="center"/>
            </w:pPr>
            <w:r/>
            <w:r>
              <w:rPr>
                <w:rFonts w:ascii="Aptos" w:hAnsi="Aptos"/>
                <w:b w:val="0"/>
                <w:color w:val="222222"/>
                <w:sz w:val="16"/>
              </w:rPr>
              <w:t>60-90 min</w:t>
            </w:r>
          </w:p>
        </w:tc>
        <w:tc>
          <w:tcPr>
            <w:tcW w:type="dxa" w:w="2556"/>
            <w:vAlign w:val="center"/>
          </w:tcPr>
          <w:p>
            <w:pPr>
              <w:spacing w:after="0"/>
            </w:pPr>
            <w:r/>
            <w:r>
              <w:rPr>
                <w:rFonts w:ascii="Aptos" w:hAnsi="Aptos"/>
                <w:b w:val="0"/>
                <w:color w:val="222222"/>
                <w:sz w:val="16"/>
              </w:rPr>
              <w:t>A method for designing outreach around real people rather than generalized populations.</w:t>
            </w:r>
          </w:p>
        </w:tc>
      </w:tr>
      <w:tr>
        <w:trPr>
          <w:cantSplit/>
        </w:trPr>
        <w:tc>
          <w:tcPr>
            <w:tcW w:type="dxa" w:w="2556"/>
            <w:vAlign w:val="center"/>
          </w:tcPr>
          <w:p>
            <w:pPr>
              <w:spacing w:after="0"/>
              <w:jc w:val="center"/>
            </w:pPr>
            <w:r/>
            <w:r>
              <w:rPr>
                <w:rFonts w:ascii="Aptos" w:hAnsi="Aptos"/>
                <w:b w:val="0"/>
                <w:color w:val="222222"/>
                <w:sz w:val="16"/>
              </w:rPr>
              <w:t>14</w:t>
            </w:r>
          </w:p>
        </w:tc>
        <w:tc>
          <w:tcPr>
            <w:tcW w:type="dxa" w:w="2556"/>
            <w:vAlign w:val="center"/>
          </w:tcPr>
          <w:p>
            <w:pPr>
              <w:spacing w:after="0"/>
            </w:pPr>
            <w:r/>
            <w:r>
              <w:rPr>
                <w:rFonts w:ascii="Aptos" w:hAnsi="Aptos"/>
                <w:b/>
                <w:color w:val="222222"/>
                <w:sz w:val="16"/>
              </w:rPr>
              <w:t>Closing the Healthcare Connection Gap</w:t>
            </w:r>
          </w:p>
        </w:tc>
        <w:tc>
          <w:tcPr>
            <w:tcW w:type="dxa" w:w="2556"/>
            <w:vAlign w:val="center"/>
          </w:tcPr>
          <w:p>
            <w:pPr>
              <w:spacing w:after="0"/>
              <w:jc w:val="center"/>
            </w:pPr>
            <w:r/>
            <w:r>
              <w:rPr>
                <w:rFonts w:ascii="Aptos" w:hAnsi="Aptos"/>
                <w:b w:val="0"/>
                <w:color w:val="222222"/>
                <w:sz w:val="16"/>
              </w:rPr>
              <w:t>45-60 min</w:t>
            </w:r>
          </w:p>
        </w:tc>
        <w:tc>
          <w:tcPr>
            <w:tcW w:type="dxa" w:w="2556"/>
            <w:vAlign w:val="center"/>
          </w:tcPr>
          <w:p>
            <w:pPr>
              <w:spacing w:after="0"/>
            </w:pPr>
            <w:r/>
            <w:r>
              <w:rPr>
                <w:rFonts w:ascii="Aptos" w:hAnsi="Aptos"/>
                <w:b w:val="0"/>
                <w:color w:val="222222"/>
                <w:sz w:val="16"/>
              </w:rPr>
              <w:t>Ways to reduce the distance between identifying a need and successfully connecting someone to care.</w:t>
            </w:r>
          </w:p>
        </w:tc>
      </w:tr>
      <w:tr>
        <w:trPr>
          <w:cantSplit/>
        </w:trPr>
        <w:tc>
          <w:tcPr>
            <w:tcW w:type="dxa" w:w="2556"/>
            <w:vAlign w:val="center"/>
          </w:tcPr>
          <w:p>
            <w:pPr>
              <w:spacing w:after="0"/>
              <w:jc w:val="center"/>
            </w:pPr>
            <w:r/>
            <w:r>
              <w:rPr>
                <w:rFonts w:ascii="Aptos" w:hAnsi="Aptos"/>
                <w:b w:val="0"/>
                <w:color w:val="222222"/>
                <w:sz w:val="16"/>
              </w:rPr>
              <w:t>15</w:t>
            </w:r>
          </w:p>
        </w:tc>
        <w:tc>
          <w:tcPr>
            <w:tcW w:type="dxa" w:w="2556"/>
            <w:vAlign w:val="center"/>
          </w:tcPr>
          <w:p>
            <w:pPr>
              <w:spacing w:after="0"/>
            </w:pPr>
            <w:r/>
            <w:r>
              <w:rPr>
                <w:rFonts w:ascii="Aptos" w:hAnsi="Aptos"/>
                <w:b/>
                <w:color w:val="222222"/>
                <w:sz w:val="16"/>
              </w:rPr>
              <w:t>Designing Outreach Around the People You Actually Want to Reach</w:t>
            </w:r>
          </w:p>
        </w:tc>
        <w:tc>
          <w:tcPr>
            <w:tcW w:type="dxa" w:w="2556"/>
            <w:vAlign w:val="center"/>
          </w:tcPr>
          <w:p>
            <w:pPr>
              <w:spacing w:after="0"/>
              <w:jc w:val="center"/>
            </w:pPr>
            <w:r/>
            <w:r>
              <w:rPr>
                <w:rFonts w:ascii="Aptos" w:hAnsi="Aptos"/>
                <w:b w:val="0"/>
                <w:color w:val="222222"/>
                <w:sz w:val="16"/>
              </w:rPr>
              <w:t>45-60 min</w:t>
            </w:r>
          </w:p>
        </w:tc>
        <w:tc>
          <w:tcPr>
            <w:tcW w:type="dxa" w:w="2556"/>
            <w:vAlign w:val="center"/>
          </w:tcPr>
          <w:p>
            <w:pPr>
              <w:spacing w:after="0"/>
            </w:pPr>
            <w:r/>
            <w:r>
              <w:rPr>
                <w:rFonts w:ascii="Aptos" w:hAnsi="Aptos"/>
                <w:b w:val="0"/>
                <w:color w:val="222222"/>
                <w:sz w:val="16"/>
              </w:rPr>
              <w:t>Tools for defining audiences and creating outreach around their needs, barriers, and motivations.</w:t>
            </w:r>
          </w:p>
        </w:tc>
      </w:tr>
      <w:tr>
        <w:trPr>
          <w:cantSplit/>
        </w:trPr>
        <w:tc>
          <w:tcPr>
            <w:tcW w:type="dxa" w:w="10224"/>
            <w:gridSpan w:val="4"/>
            <w:shd w:fill="F3EEF8"/>
            <w:vAlign w:val="center"/>
          </w:tcPr>
          <w:p>
            <w:pPr>
              <w:spacing w:after="0"/>
            </w:pPr>
            <w:r/>
            <w:r>
              <w:rPr>
                <w:rFonts w:ascii="Aptos" w:hAnsi="Aptos"/>
                <w:b/>
                <w:color w:val="5B2A86"/>
                <w:sz w:val="18"/>
              </w:rPr>
              <w:t>TRACK 4 - PURPOSE, LEADERSHIP &amp; IMPACT</w:t>
            </w:r>
          </w:p>
        </w:tc>
      </w:tr>
      <w:tr>
        <w:trPr>
          <w:cantSplit/>
        </w:trPr>
        <w:tc>
          <w:tcPr>
            <w:tcW w:type="dxa" w:w="2556"/>
            <w:vAlign w:val="center"/>
          </w:tcPr>
          <w:p>
            <w:pPr>
              <w:spacing w:after="0"/>
              <w:jc w:val="center"/>
            </w:pPr>
            <w:r/>
            <w:r>
              <w:rPr>
                <w:rFonts w:ascii="Aptos" w:hAnsi="Aptos"/>
                <w:b w:val="0"/>
                <w:color w:val="222222"/>
                <w:sz w:val="16"/>
              </w:rPr>
              <w:t>16</w:t>
            </w:r>
          </w:p>
        </w:tc>
        <w:tc>
          <w:tcPr>
            <w:tcW w:type="dxa" w:w="2556"/>
            <w:vAlign w:val="center"/>
          </w:tcPr>
          <w:p>
            <w:pPr>
              <w:spacing w:after="0"/>
            </w:pPr>
            <w:r/>
            <w:r>
              <w:rPr>
                <w:rFonts w:ascii="Aptos" w:hAnsi="Aptos"/>
                <w:b/>
                <w:color w:val="222222"/>
                <w:sz w:val="16"/>
              </w:rPr>
              <w:t>Silence Is Loud: Advocacy, Storytelling &amp; Speaking Up</w:t>
            </w:r>
          </w:p>
        </w:tc>
        <w:tc>
          <w:tcPr>
            <w:tcW w:type="dxa" w:w="2556"/>
            <w:vAlign w:val="center"/>
          </w:tcPr>
          <w:p>
            <w:pPr>
              <w:spacing w:after="0"/>
              <w:jc w:val="center"/>
            </w:pPr>
            <w:r/>
            <w:r>
              <w:rPr>
                <w:rFonts w:ascii="Aptos" w:hAnsi="Aptos"/>
                <w:b w:val="0"/>
                <w:color w:val="222222"/>
                <w:sz w:val="16"/>
              </w:rPr>
              <w:t>45-60 min</w:t>
            </w:r>
          </w:p>
        </w:tc>
        <w:tc>
          <w:tcPr>
            <w:tcW w:type="dxa" w:w="2556"/>
            <w:vAlign w:val="center"/>
          </w:tcPr>
          <w:p>
            <w:pPr>
              <w:spacing w:after="0"/>
            </w:pPr>
            <w:r/>
            <w:r>
              <w:rPr>
                <w:rFonts w:ascii="Aptos" w:hAnsi="Aptos"/>
                <w:b w:val="0"/>
                <w:color w:val="222222"/>
                <w:sz w:val="16"/>
              </w:rPr>
              <w:t>How voice, story, and advocacy can challenge stigma and create change.</w:t>
            </w:r>
          </w:p>
        </w:tc>
      </w:tr>
      <w:tr>
        <w:trPr>
          <w:cantSplit/>
        </w:trPr>
        <w:tc>
          <w:tcPr>
            <w:tcW w:type="dxa" w:w="2556"/>
            <w:vAlign w:val="center"/>
          </w:tcPr>
          <w:p>
            <w:pPr>
              <w:spacing w:after="0"/>
              <w:jc w:val="center"/>
            </w:pPr>
            <w:r/>
            <w:r>
              <w:rPr>
                <w:rFonts w:ascii="Aptos" w:hAnsi="Aptos"/>
                <w:b w:val="0"/>
                <w:color w:val="222222"/>
                <w:sz w:val="16"/>
              </w:rPr>
              <w:t>17</w:t>
            </w:r>
          </w:p>
        </w:tc>
        <w:tc>
          <w:tcPr>
            <w:tcW w:type="dxa" w:w="2556"/>
            <w:vAlign w:val="center"/>
          </w:tcPr>
          <w:p>
            <w:pPr>
              <w:spacing w:after="0"/>
            </w:pPr>
            <w:r/>
            <w:r>
              <w:rPr>
                <w:rFonts w:ascii="Aptos" w:hAnsi="Aptos"/>
                <w:b/>
                <w:color w:val="222222"/>
                <w:sz w:val="16"/>
              </w:rPr>
              <w:t>He Who Has a WHY: Purpose, Hope &amp; Recovery</w:t>
            </w:r>
          </w:p>
        </w:tc>
        <w:tc>
          <w:tcPr>
            <w:tcW w:type="dxa" w:w="2556"/>
            <w:vAlign w:val="center"/>
          </w:tcPr>
          <w:p>
            <w:pPr>
              <w:spacing w:after="0"/>
              <w:jc w:val="center"/>
            </w:pPr>
            <w:r/>
            <w:r>
              <w:rPr>
                <w:rFonts w:ascii="Aptos" w:hAnsi="Aptos"/>
                <w:b w:val="0"/>
                <w:color w:val="222222"/>
                <w:sz w:val="16"/>
              </w:rPr>
              <w:t>45-60 min</w:t>
            </w:r>
          </w:p>
        </w:tc>
        <w:tc>
          <w:tcPr>
            <w:tcW w:type="dxa" w:w="2556"/>
            <w:vAlign w:val="center"/>
          </w:tcPr>
          <w:p>
            <w:pPr>
              <w:spacing w:after="0"/>
            </w:pPr>
            <w:r/>
            <w:r>
              <w:rPr>
                <w:rFonts w:ascii="Aptos" w:hAnsi="Aptos"/>
                <w:b w:val="0"/>
                <w:color w:val="222222"/>
                <w:sz w:val="16"/>
              </w:rPr>
              <w:t>A framework connecting purpose and hope with resilience, recovery, and forward movement.</w:t>
            </w:r>
          </w:p>
        </w:tc>
      </w:tr>
      <w:tr>
        <w:trPr>
          <w:cantSplit/>
        </w:trPr>
        <w:tc>
          <w:tcPr>
            <w:tcW w:type="dxa" w:w="2556"/>
            <w:vAlign w:val="center"/>
          </w:tcPr>
          <w:p>
            <w:pPr>
              <w:spacing w:after="0"/>
              <w:jc w:val="center"/>
            </w:pPr>
            <w:r/>
            <w:r>
              <w:rPr>
                <w:rFonts w:ascii="Aptos" w:hAnsi="Aptos"/>
                <w:b w:val="0"/>
                <w:color w:val="222222"/>
                <w:sz w:val="16"/>
              </w:rPr>
              <w:t>18</w:t>
            </w:r>
          </w:p>
        </w:tc>
        <w:tc>
          <w:tcPr>
            <w:tcW w:type="dxa" w:w="2556"/>
            <w:vAlign w:val="center"/>
          </w:tcPr>
          <w:p>
            <w:pPr>
              <w:spacing w:after="0"/>
            </w:pPr>
            <w:r/>
            <w:r>
              <w:rPr>
                <w:rFonts w:ascii="Aptos" w:hAnsi="Aptos"/>
                <w:b/>
                <w:color w:val="222222"/>
                <w:sz w:val="16"/>
              </w:rPr>
              <w:t>Bold &amp; Brilliant: Creating Lasting Community Impact</w:t>
            </w:r>
          </w:p>
        </w:tc>
        <w:tc>
          <w:tcPr>
            <w:tcW w:type="dxa" w:w="2556"/>
            <w:vAlign w:val="center"/>
          </w:tcPr>
          <w:p>
            <w:pPr>
              <w:spacing w:after="0"/>
              <w:jc w:val="center"/>
            </w:pPr>
            <w:r/>
            <w:r>
              <w:rPr>
                <w:rFonts w:ascii="Aptos" w:hAnsi="Aptos"/>
                <w:b w:val="0"/>
                <w:color w:val="222222"/>
                <w:sz w:val="16"/>
              </w:rPr>
              <w:t>45-60 min</w:t>
            </w:r>
          </w:p>
        </w:tc>
        <w:tc>
          <w:tcPr>
            <w:tcW w:type="dxa" w:w="2556"/>
            <w:vAlign w:val="center"/>
          </w:tcPr>
          <w:p>
            <w:pPr>
              <w:spacing w:after="0"/>
            </w:pPr>
            <w:r/>
            <w:r>
              <w:rPr>
                <w:rFonts w:ascii="Aptos" w:hAnsi="Aptos"/>
                <w:b w:val="0"/>
                <w:color w:val="222222"/>
                <w:sz w:val="16"/>
              </w:rPr>
              <w:t>Encouragement and strategy for moving from ideas to sustainable community action.</w:t>
            </w:r>
          </w:p>
        </w:tc>
      </w:tr>
      <w:tr>
        <w:trPr>
          <w:cantSplit/>
        </w:trPr>
        <w:tc>
          <w:tcPr>
            <w:tcW w:type="dxa" w:w="2556"/>
            <w:vAlign w:val="center"/>
          </w:tcPr>
          <w:p>
            <w:pPr>
              <w:spacing w:after="0"/>
              <w:jc w:val="center"/>
            </w:pPr>
            <w:r/>
            <w:r>
              <w:rPr>
                <w:rFonts w:ascii="Aptos" w:hAnsi="Aptos"/>
                <w:b w:val="0"/>
                <w:color w:val="222222"/>
                <w:sz w:val="16"/>
              </w:rPr>
              <w:t>19</w:t>
            </w:r>
          </w:p>
        </w:tc>
        <w:tc>
          <w:tcPr>
            <w:tcW w:type="dxa" w:w="2556"/>
            <w:vAlign w:val="center"/>
          </w:tcPr>
          <w:p>
            <w:pPr>
              <w:spacing w:after="0"/>
            </w:pPr>
            <w:r/>
            <w:r>
              <w:rPr>
                <w:rFonts w:ascii="Aptos" w:hAnsi="Aptos"/>
                <w:b/>
                <w:color w:val="222222"/>
                <w:sz w:val="16"/>
              </w:rPr>
              <w:t>How I Turn Ideas Into Community Impact</w:t>
            </w:r>
          </w:p>
        </w:tc>
        <w:tc>
          <w:tcPr>
            <w:tcW w:type="dxa" w:w="2556"/>
            <w:vAlign w:val="center"/>
          </w:tcPr>
          <w:p>
            <w:pPr>
              <w:spacing w:after="0"/>
              <w:jc w:val="center"/>
            </w:pPr>
            <w:r/>
            <w:r>
              <w:rPr>
                <w:rFonts w:ascii="Aptos" w:hAnsi="Aptos"/>
                <w:b w:val="0"/>
                <w:color w:val="222222"/>
                <w:sz w:val="16"/>
              </w:rPr>
              <w:t>45-60 min</w:t>
            </w:r>
          </w:p>
        </w:tc>
        <w:tc>
          <w:tcPr>
            <w:tcW w:type="dxa" w:w="2556"/>
            <w:vAlign w:val="center"/>
          </w:tcPr>
          <w:p>
            <w:pPr>
              <w:spacing w:after="0"/>
            </w:pPr>
            <w:r/>
            <w:r>
              <w:rPr>
                <w:rFonts w:ascii="Aptos" w:hAnsi="Aptos"/>
                <w:b w:val="0"/>
                <w:color w:val="222222"/>
                <w:sz w:val="16"/>
              </w:rPr>
              <w:t>A real-world process for transforming an idea into partnerships, programs, and community experiences.</w:t>
            </w:r>
          </w:p>
        </w:tc>
      </w:tr>
      <w:tr>
        <w:trPr>
          <w:cantSplit/>
        </w:trPr>
        <w:tc>
          <w:tcPr>
            <w:tcW w:type="dxa" w:w="2556"/>
            <w:vAlign w:val="center"/>
          </w:tcPr>
          <w:p>
            <w:pPr>
              <w:spacing w:after="0"/>
              <w:jc w:val="center"/>
            </w:pPr>
            <w:r/>
            <w:r>
              <w:rPr>
                <w:rFonts w:ascii="Aptos" w:hAnsi="Aptos"/>
                <w:b w:val="0"/>
                <w:color w:val="222222"/>
                <w:sz w:val="16"/>
              </w:rPr>
              <w:t>20</w:t>
            </w:r>
          </w:p>
        </w:tc>
        <w:tc>
          <w:tcPr>
            <w:tcW w:type="dxa" w:w="2556"/>
            <w:vAlign w:val="center"/>
          </w:tcPr>
          <w:p>
            <w:pPr>
              <w:spacing w:after="0"/>
            </w:pPr>
            <w:r/>
            <w:r>
              <w:rPr>
                <w:rFonts w:ascii="Aptos" w:hAnsi="Aptos"/>
                <w:b/>
                <w:color w:val="222222"/>
                <w:sz w:val="16"/>
              </w:rPr>
              <w:t>More Than Apparel: A Conversation That Matters</w:t>
            </w:r>
          </w:p>
        </w:tc>
        <w:tc>
          <w:tcPr>
            <w:tcW w:type="dxa" w:w="2556"/>
            <w:vAlign w:val="center"/>
          </w:tcPr>
          <w:p>
            <w:pPr>
              <w:spacing w:after="0"/>
              <w:jc w:val="center"/>
            </w:pPr>
            <w:r/>
            <w:r>
              <w:rPr>
                <w:rFonts w:ascii="Aptos" w:hAnsi="Aptos"/>
                <w:b w:val="0"/>
                <w:color w:val="222222"/>
                <w:sz w:val="16"/>
              </w:rPr>
              <w:t>30-60 min</w:t>
            </w:r>
          </w:p>
        </w:tc>
        <w:tc>
          <w:tcPr>
            <w:tcW w:type="dxa" w:w="2556"/>
            <w:vAlign w:val="center"/>
          </w:tcPr>
          <w:p>
            <w:pPr>
              <w:spacing w:after="0"/>
            </w:pPr>
            <w:r/>
            <w:r>
              <w:rPr>
                <w:rFonts w:ascii="Aptos" w:hAnsi="Aptos"/>
                <w:b w:val="0"/>
                <w:color w:val="222222"/>
                <w:sz w:val="16"/>
              </w:rPr>
              <w:t>How creativity, apparel, and visible messaging can start difficult public-health conversations.</w:t>
            </w:r>
          </w:p>
        </w:tc>
      </w:tr>
    </w:tbl>
    <w:p>
      <w:pPr>
        <w:pStyle w:val="Heading1"/>
      </w:pPr>
      <w:r>
        <w:t>7. Recommended Speaking Topics Page Structure</w:t>
      </w:r>
    </w:p>
    <w:p>
      <w:pPr>
        <w:pStyle w:val="ListBullet"/>
      </w:pPr>
      <w:r>
        <w:t>Homepage: Four track cards plus three featured topics and an Explore All Speaking Topics call to action.</w:t>
      </w:r>
    </w:p>
    <w:p>
      <w:pPr>
        <w:pStyle w:val="ListBullet"/>
      </w:pPr>
      <w:r>
        <w:t>Dedicated page: Full 20-topic catalog with filters for Audience and Topic Track.</w:t>
      </w:r>
    </w:p>
    <w:p>
      <w:pPr>
        <w:pStyle w:val="ListBullet"/>
      </w:pPr>
      <w:r>
        <w:t>Each topic: Public-facing title, short description, intended audience, available format/length, key takeaway, and inquiry call to action.</w:t>
      </w:r>
    </w:p>
    <w:p>
      <w:pPr>
        <w:pStyle w:val="ListBullet"/>
      </w:pPr>
      <w:r>
        <w:t>Audience filters: Youth &amp; Families; Schools &amp; Educators; Behavioral Health &amp; Helping Professionals; Public Health &amp; Prevention; Community Organizations; Leadership &amp; Organizations.</w:t>
      </w:r>
    </w:p>
    <w:p>
      <w:pPr>
        <w:pStyle w:val="ListBullet"/>
      </w:pPr>
      <w:r>
        <w:t>Topic filters: Prevention, Gambling &amp; Emerging Risk; Community Engagement &amp; Outreach; Human-Centered Systems &amp; Services; Purpose, Leadership &amp; Impact.</w:t>
      </w:r>
    </w:p>
    <w:p>
      <w:pPr>
        <w:pStyle w:val="Heading1"/>
      </w:pPr>
      <w:r>
        <w:t>8. Brand Positioning</w:t>
      </w:r>
    </w:p>
    <w:p>
      <w:r>
        <w:t>The public page should represent Tiffany Webb's broader speaking platform rather than being titled 'GambleFreeGear Presentation Topics.' GambleFreeGear can appear within relevant sessions - particularly More Than Apparel and the G.E.A.R. Model - while remaining a distinct brand.</w:t>
      </w:r>
    </w:p>
    <w:p>
      <w:pPr>
        <w:pStyle w:val="Heading1"/>
      </w:pPr>
      <w:r>
        <w:t>9. Website Developer Direction</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0"/>
              </w:rPr>
              <w:t>Use four high-level topic cards on the homepage and place the complete 20-topic catalog on a dedicated Speaking Topics page. Allow visitors to filter by audience and topic track. Use polished public-facing session titles rather than internal presentation filenames. Include a clear organizer inquiry CTA such as Start a Conversation or Invite Tiffany to Speak.</w:t>
            </w:r>
          </w:p>
        </w:tc>
      </w:tr>
    </w:tbl>
    <w:p>
      <w:pPr>
        <w:pStyle w:val="Heading1"/>
      </w:pPr>
      <w:r>
        <w:t>10. Final Items to Confirm Before Publishing</w:t>
      </w:r>
    </w:p>
    <w:p>
      <w:pPr>
        <w:pStyle w:val="ListBullet"/>
      </w:pPr>
      <w:r>
        <w:t>Confirm whether each of the 20 sessions is currently deliverable.</w:t>
      </w:r>
    </w:p>
    <w:p>
      <w:pPr>
        <w:pStyle w:val="ListBullet"/>
      </w:pPr>
      <w:r>
        <w:t>Confirm the standard and optional running time for each session.</w:t>
      </w:r>
    </w:p>
    <w:p>
      <w:pPr>
        <w:pStyle w:val="ListBullet"/>
      </w:pPr>
      <w:r>
        <w:t>Confirm the three historically most-requested sessions if that metric will be stated publicly.</w:t>
      </w:r>
    </w:p>
    <w:p>
      <w:pPr>
        <w:pStyle w:val="ListBullet"/>
      </w:pPr>
      <w:r>
        <w:t>Add a short description and intended audience to each topic.</w:t>
      </w:r>
    </w:p>
    <w:p>
      <w:pPr>
        <w:pStyle w:val="ListBullet"/>
      </w:pPr>
      <w:r>
        <w:t>Decide which sessions are available as keynote, workshop, training, panel, or community presentation formats.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Tiffany Webb | Updated Speaking Topics Website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B2A8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2A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B2A8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