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20E"/>
          <w:sz w:val="28"/>
        </w:rPr>
        <w:t>TIFFANY WEBB — WEBSITE DESIGN GUIDE</w:t>
      </w:r>
    </w:p>
    <w:p>
      <w:pPr>
        <w:jc w:val="center"/>
      </w:pPr>
      <w:r>
        <w:rPr>
          <w:b/>
          <w:color w:val="D9AE4A"/>
          <w:sz w:val="48"/>
        </w:rPr>
        <w:t>Engagement Formats Strip</w:t>
      </w:r>
    </w:p>
    <w:tbl>
      <w:tblPr>
        <w:tblW w:type="auto" w:w="0"/>
        <w:jc w:val="center"/>
        <w:tblLook w:firstColumn="1" w:firstRow="1" w:lastColumn="0" w:lastRow="0" w:noHBand="0" w:noVBand="1" w:val="04A0"/>
      </w:tblPr>
      <w:tblGrid>
        <w:gridCol w:w="10080"/>
      </w:tblGrid>
      <w:tr>
        <w:tc>
          <w:tcPr>
            <w:tcW w:type="dxa" w:w="10080"/>
            <w:shd w:fill="0F120E"/>
          </w:tcPr>
          <w:p>
            <w:pPr>
              <w:jc w:val="center"/>
            </w:pPr>
            <w:r>
              <w:rPr>
                <w:b/>
                <w:color w:val="D9AE4A"/>
                <w:sz w:val="20"/>
              </w:rPr>
              <w:t>FINAL WEBSITE FORMAT STRIP</w:t>
            </w:r>
          </w:p>
          <w:p>
            <w:pPr>
              <w:jc w:val="center"/>
            </w:pPr>
            <w:r>
              <w:rPr>
                <w:b/>
                <w:color w:val="F5EFE3"/>
                <w:sz w:val="30"/>
              </w:rPr>
              <w:t>Speaking · Training · Workshops · Facilitation · Consulting</w:t>
            </w:r>
          </w:p>
        </w:tc>
      </w:tr>
    </w:tbl>
    <w:p/>
    <w:p>
      <w:r>
        <w:rPr>
          <w:b/>
          <w:color w:val="D9AE4A"/>
          <w:sz w:val="24"/>
        </w:rPr>
        <w:t>PURPOSE</w:t>
      </w:r>
    </w:p>
    <w:p>
      <w:r>
        <w:t>The strip should quickly show the primary ways organizations can engage Tiffany. It should represent the full range of her work rather than making the website appear focused only on conference speaking.</w:t>
      </w:r>
    </w:p>
    <w:p>
      <w:r>
        <w:rPr>
          <w:b/>
          <w:color w:val="D9AE4A"/>
          <w:sz w:val="24"/>
        </w:rPr>
        <w:t>WHAT EACH FORMAT INCLUDES</w:t>
      </w:r>
    </w:p>
    <w:tbl>
      <w:tblPr>
        <w:tblStyle w:val="TableGrid"/>
        <w:tblW w:type="auto" w:w="0"/>
        <w:jc w:val="center"/>
        <w:tblLook w:firstColumn="1" w:firstRow="1" w:lastColumn="0" w:lastRow="0" w:noHBand="0" w:noVBand="1" w:val="04A0"/>
      </w:tblPr>
      <w:tblGrid>
        <w:gridCol w:w="5040"/>
        <w:gridCol w:w="5040"/>
      </w:tblGrid>
      <w:tr>
        <w:tc>
          <w:tcPr>
            <w:tcW w:type="dxa" w:w="5040"/>
            <w:shd w:fill="D9AE4A"/>
          </w:tcPr>
          <w:p>
            <w:r>
              <w:rPr>
                <w:b/>
                <w:color w:val="0F120E"/>
                <w:sz w:val="18"/>
              </w:rPr>
              <w:t>FORMAT</w:t>
            </w:r>
          </w:p>
        </w:tc>
        <w:tc>
          <w:tcPr>
            <w:tcW w:type="dxa" w:w="5040"/>
            <w:shd w:fill="D9AE4A"/>
          </w:tcPr>
          <w:p>
            <w:r>
              <w:rPr>
                <w:b/>
                <w:color w:val="0F120E"/>
                <w:sz w:val="18"/>
              </w:rPr>
              <w:t>WHAT IT CAN INCLUDE</w:t>
            </w:r>
          </w:p>
        </w:tc>
      </w:tr>
      <w:tr>
        <w:tc>
          <w:tcPr>
            <w:tcW w:type="dxa" w:w="5040"/>
            <w:vAlign w:val="top"/>
          </w:tcPr>
          <w:p>
            <w:r>
              <w:rPr>
                <w:b/>
                <w:sz w:val="19"/>
              </w:rPr>
              <w:t>Speaking</w:t>
            </w:r>
          </w:p>
        </w:tc>
        <w:tc>
          <w:tcPr>
            <w:tcW w:type="dxa" w:w="5040"/>
            <w:vAlign w:val="top"/>
          </w:tcPr>
          <w:p>
            <w:r>
              <w:rPr>
                <w:sz w:val="19"/>
              </w:rPr>
              <w:t>Keynotes, conference sessions, presentations, panels, breakout sessions, and community conversations.</w:t>
            </w:r>
          </w:p>
        </w:tc>
      </w:tr>
      <w:tr>
        <w:tc>
          <w:tcPr>
            <w:tcW w:type="dxa" w:w="5040"/>
            <w:vAlign w:val="top"/>
          </w:tcPr>
          <w:p>
            <w:r>
              <w:rPr>
                <w:b/>
                <w:sz w:val="19"/>
              </w:rPr>
              <w:t>Training</w:t>
            </w:r>
          </w:p>
        </w:tc>
        <w:tc>
          <w:tcPr>
            <w:tcW w:type="dxa" w:w="5040"/>
            <w:vAlign w:val="top"/>
          </w:tcPr>
          <w:p>
            <w:r>
              <w:rPr>
                <w:sz w:val="19"/>
              </w:rPr>
              <w:t>Structured learning designed to build knowledge, understanding, skills, or practical capacity for organizations, professionals, schools, or community groups.</w:t>
            </w:r>
          </w:p>
        </w:tc>
      </w:tr>
      <w:tr>
        <w:tc>
          <w:tcPr>
            <w:tcW w:type="dxa" w:w="5040"/>
            <w:vAlign w:val="top"/>
          </w:tcPr>
          <w:p>
            <w:r>
              <w:rPr>
                <w:b/>
                <w:sz w:val="19"/>
              </w:rPr>
              <w:t>Workshops</w:t>
            </w:r>
          </w:p>
        </w:tc>
        <w:tc>
          <w:tcPr>
            <w:tcW w:type="dxa" w:w="5040"/>
            <w:vAlign w:val="top"/>
          </w:tcPr>
          <w:p>
            <w:r>
              <w:rPr>
                <w:sz w:val="19"/>
              </w:rPr>
              <w:t>Interactive learning experiences that may include discussion, exercises, activities, reflection, planning, or collaborative creation.</w:t>
            </w:r>
          </w:p>
        </w:tc>
      </w:tr>
      <w:tr>
        <w:tc>
          <w:tcPr>
            <w:tcW w:type="dxa" w:w="5040"/>
            <w:vAlign w:val="top"/>
          </w:tcPr>
          <w:p>
            <w:r>
              <w:rPr>
                <w:b/>
                <w:sz w:val="19"/>
              </w:rPr>
              <w:t>Facilitation</w:t>
            </w:r>
          </w:p>
        </w:tc>
        <w:tc>
          <w:tcPr>
            <w:tcW w:type="dxa" w:w="5040"/>
            <w:vAlign w:val="top"/>
          </w:tcPr>
          <w:p>
            <w:r>
              <w:rPr>
                <w:sz w:val="19"/>
              </w:rPr>
              <w:t>Group discussions, community conversations, planning sessions, listening sessions, and other guided processes that help people participate and move ideas forward.</w:t>
            </w:r>
          </w:p>
        </w:tc>
      </w:tr>
      <w:tr>
        <w:tc>
          <w:tcPr>
            <w:tcW w:type="dxa" w:w="5040"/>
            <w:vAlign w:val="top"/>
          </w:tcPr>
          <w:p>
            <w:r>
              <w:rPr>
                <w:b/>
                <w:sz w:val="19"/>
              </w:rPr>
              <w:t>Consulting</w:t>
            </w:r>
          </w:p>
        </w:tc>
        <w:tc>
          <w:tcPr>
            <w:tcW w:type="dxa" w:w="5040"/>
            <w:vAlign w:val="top"/>
          </w:tcPr>
          <w:p>
            <w:r>
              <w:rPr>
                <w:sz w:val="19"/>
              </w:rPr>
              <w:t>Program development, project support, event and activation strategy, community engagement, partnership development, and other specialized advisory work.</w:t>
            </w:r>
          </w:p>
        </w:tc>
      </w:tr>
    </w:tbl>
    <w:p/>
    <w:p>
      <w:r>
        <w:rPr>
          <w:b/>
          <w:color w:val="D9AE4A"/>
          <w:sz w:val="24"/>
        </w:rPr>
        <w:t>HOW TO HANDLE “PROGRAMS”</w:t>
      </w:r>
    </w:p>
    <w:p>
      <w:r>
        <w:t>Do not use “Programs” as one of the five items in the engagement strip. Programs describe what Tiffany may create or deliver, while the five terms above describe how a client, school, conference, organization, or community can engage her.</w:t>
      </w:r>
    </w:p>
    <w:p>
      <w:r>
        <w:t>School programs, youth programs, prevention initiatives, community programs, special projects, and event-based work can be described within the appropriate service or portfolio sections of the website.</w:t>
      </w:r>
    </w:p>
    <w:p>
      <w:r>
        <w:rPr>
          <w:b/>
          <w:color w:val="D9AE4A"/>
          <w:sz w:val="24"/>
        </w:rPr>
        <w:t>DESIGN / DEVELOPMENT INSTRUCTIONS</w:t>
      </w:r>
    </w:p>
    <w:p>
      <w:pPr>
        <w:ind w:left="259" w:hanging="173"/>
      </w:pPr>
      <w:r>
        <w:rPr>
          <w:b/>
        </w:rPr>
        <w:t xml:space="preserve">• </w:t>
      </w:r>
      <w:r>
        <w:t>Keep all five terms visually equal; do not make one format appear to be the primary service.</w:t>
      </w:r>
    </w:p>
    <w:p>
      <w:pPr>
        <w:ind w:left="259" w:hanging="173"/>
      </w:pPr>
      <w:r>
        <w:rPr>
          <w:b/>
        </w:rPr>
        <w:t xml:space="preserve">• </w:t>
      </w:r>
      <w:r>
        <w:t>Use the exact order: Speaking · Training · Workshops · Facilitation · Consulting.</w:t>
      </w:r>
    </w:p>
    <w:p>
      <w:pPr>
        <w:ind w:left="259" w:hanging="173"/>
      </w:pPr>
      <w:r>
        <w:rPr>
          <w:b/>
        </w:rPr>
        <w:t xml:space="preserve">• </w:t>
      </w:r>
      <w:r>
        <w:t>Keep the strip concise. Do not add descriptions directly into the hero strip.</w:t>
      </w:r>
    </w:p>
    <w:p>
      <w:pPr>
        <w:ind w:left="259" w:hanging="173"/>
      </w:pPr>
      <w:r>
        <w:rPr>
          <w:b/>
        </w:rPr>
        <w:t xml:space="preserve">• </w:t>
      </w:r>
      <w:r>
        <w:t>Detailed examples should appear deeper on the website under the appropriate service sections.</w:t>
      </w:r>
    </w:p>
    <w:p>
      <w:pPr>
        <w:ind w:left="259" w:hanging="173"/>
      </w:pPr>
      <w:r>
        <w:rPr>
          <w:b/>
        </w:rPr>
        <w:t xml:space="preserve">• </w:t>
      </w:r>
      <w:r>
        <w:t>The strip should support the broader positioning “Community Impact Strategist,” not function as a list of job titles.</w:t>
      </w:r>
    </w:p>
    <w:p/>
    <w:p>
      <w:r>
        <w:rPr>
          <w:b/>
          <w:color w:val="D9AE4A"/>
          <w:sz w:val="24"/>
        </w:rPr>
        <w:t>COPY FOR WEBSITE DEVELOPER</w:t>
      </w:r>
    </w:p>
    <w:p>
      <w:r>
        <w:rPr>
          <w:b/>
        </w:rPr>
        <w:t xml:space="preserve">REWRITE THE FORMAT STRIP AS: </w:t>
      </w:r>
      <w:r>
        <w:t>Speaking · Training · Workshops · Facilitation · Consulting</w:t>
      </w:r>
    </w:p>
    <w:p>
      <w:r>
        <w:t>These five categories represent the primary ways organizations can engage Tiffany. Specific offerings—including keynotes, conference and breakout sessions, panels, school and community programs, group facilitation, project support, event strategy, and specialized initiatives—can be explained within the appropriate sections of the website.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