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666666"/>
          <w:sz w:val="26"/>
        </w:rPr>
        <w:t>TIFFANY WEBB</w:t>
      </w:r>
    </w:p>
    <w:p>
      <w:pPr>
        <w:pStyle w:val="Title"/>
        <w:jc w:val="center"/>
      </w:pPr>
      <w:r>
        <w:t>Section 12</w:t>
        <w:br/>
        <w:t>Footer</w:t>
        <w:br/>
        <w:t>Website Development Guide</w:t>
      </w:r>
    </w:p>
    <w:p>
      <w:pPr>
        <w:jc w:val="center"/>
      </w:pPr>
      <w:r>
        <w:rPr>
          <w:sz w:val="28"/>
        </w:rPr>
        <w:t>Website Content Questionnaire - Section 12</w:t>
      </w:r>
    </w:p>
    <w:p>
      <w:pPr>
        <w:jc w:val="center"/>
      </w:pPr>
      <w:r>
        <w:rPr>
          <w:color w:val="666666"/>
          <w:sz w:val="20"/>
        </w:rPr>
        <w:t>Values · Navigation · Connection · GambleFreeGear · Owned audience</w:t>
      </w:r>
    </w:p>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CORE STANDARD: The footer is the final relationship-building section of the site. It should reinforce Tiffany Webb's values and reach, make important pages easy to find, provide approved contact and social pathways, connect visitors to GambleFreeGear, and build an owned email audience.</w:t>
            </w:r>
          </w:p>
        </w:tc>
      </w:tr>
    </w:tbl>
    <w:p>
      <w:r>
        <w:br w:type="page"/>
      </w:r>
    </w:p>
    <w:p>
      <w:pPr>
        <w:pStyle w:val="Heading1"/>
      </w:pPr>
      <w:r>
        <w:t>1. Purpose of Section 12</w:t>
      </w:r>
    </w:p>
    <w:p>
      <w:r>
        <w:t>The footer should do more than hold legal links. It is the last consistent section visitors see across the website and should function as a compact credibility, navigation, connection, and audience-building area.</w:t>
      </w:r>
    </w:p>
    <w:p>
      <w:r>
        <w:t>Keep it useful and uncluttered. Only active, approved links should appear.</w:t>
      </w:r>
    </w:p>
    <w:p>
      <w:pPr>
        <w:pStyle w:val="Heading1"/>
      </w:pPr>
      <w:r>
        <w:t>2. Section 12.1 - Values Line &amp; Quote</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7"/>
              </w:rPr>
              <w:t>ELEMENT</w:t>
            </w:r>
          </w:p>
        </w:tc>
        <w:tc>
          <w:tcPr>
            <w:tcW w:type="dxa" w:w="5112"/>
            <w:vAlign w:val="center"/>
            <w:shd w:fill="5B2A86"/>
          </w:tcPr>
          <w:p>
            <w:pPr>
              <w:spacing w:after="0"/>
            </w:pPr>
            <w:r/>
            <w:r>
              <w:rPr>
                <w:rFonts w:ascii="Aptos" w:hAnsi="Aptos"/>
                <w:b/>
                <w:color w:val="FFFFFF"/>
                <w:sz w:val="17"/>
              </w:rPr>
              <w:t>FINAL DIRECTION</w:t>
            </w:r>
          </w:p>
        </w:tc>
      </w:tr>
      <w:tr>
        <w:trPr>
          <w:cantSplit/>
        </w:trPr>
        <w:tc>
          <w:tcPr>
            <w:tcW w:type="dxa" w:w="5112"/>
            <w:vAlign w:val="center"/>
          </w:tcPr>
          <w:p>
            <w:pPr>
              <w:spacing w:after="0"/>
            </w:pPr>
            <w:r/>
            <w:r>
              <w:rPr>
                <w:rFonts w:ascii="Aptos" w:hAnsi="Aptos"/>
                <w:b/>
                <w:color w:val="5B2A86"/>
                <w:sz w:val="18"/>
              </w:rPr>
              <w:t>Values line</w:t>
            </w:r>
          </w:p>
        </w:tc>
        <w:tc>
          <w:tcPr>
            <w:tcW w:type="dxa" w:w="5112"/>
            <w:vAlign w:val="center"/>
          </w:tcPr>
          <w:p>
            <w:pPr>
              <w:spacing w:after="0"/>
            </w:pPr>
            <w:r/>
            <w:r>
              <w:rPr>
                <w:rFonts w:ascii="Aptos" w:hAnsi="Aptos"/>
                <w:b w:val="0"/>
                <w:color w:val="222222"/>
                <w:sz w:val="18"/>
              </w:rPr>
              <w:t>Faith. Family. Community. Purpose. Impact.</w:t>
            </w:r>
          </w:p>
        </w:tc>
      </w:tr>
      <w:tr>
        <w:trPr>
          <w:cantSplit/>
        </w:trPr>
        <w:tc>
          <w:tcPr>
            <w:tcW w:type="dxa" w:w="5112"/>
            <w:vAlign w:val="center"/>
          </w:tcPr>
          <w:p>
            <w:pPr>
              <w:spacing w:after="0"/>
            </w:pPr>
            <w:r/>
            <w:r>
              <w:rPr>
                <w:rFonts w:ascii="Aptos" w:hAnsi="Aptos"/>
                <w:b/>
                <w:color w:val="5B2A86"/>
                <w:sz w:val="18"/>
              </w:rPr>
              <w:t>Quote</w:t>
            </w:r>
          </w:p>
        </w:tc>
        <w:tc>
          <w:tcPr>
            <w:tcW w:type="dxa" w:w="5112"/>
            <w:vAlign w:val="center"/>
          </w:tcPr>
          <w:p>
            <w:pPr>
              <w:spacing w:after="0"/>
            </w:pPr>
            <w:r/>
            <w:r>
              <w:rPr>
                <w:rFonts w:ascii="Aptos" w:hAnsi="Aptos"/>
                <w:b w:val="0"/>
                <w:color w:val="222222"/>
                <w:sz w:val="18"/>
              </w:rPr>
              <w:t>“Every conversation is an opportunity to plant a seed of hope, strengthen a community, and inspire meaningful change.”</w:t>
            </w:r>
          </w:p>
        </w:tc>
      </w:tr>
      <w:tr>
        <w:trPr>
          <w:cantSplit/>
        </w:trPr>
        <w:tc>
          <w:tcPr>
            <w:tcW w:type="dxa" w:w="5112"/>
            <w:vAlign w:val="center"/>
          </w:tcPr>
          <w:p>
            <w:pPr>
              <w:spacing w:after="0"/>
            </w:pPr>
            <w:r/>
            <w:r>
              <w:rPr>
                <w:rFonts w:ascii="Aptos" w:hAnsi="Aptos"/>
                <w:b/>
                <w:color w:val="5B2A86"/>
                <w:sz w:val="18"/>
              </w:rPr>
              <w:t>Quote status</w:t>
            </w:r>
          </w:p>
        </w:tc>
        <w:tc>
          <w:tcPr>
            <w:tcW w:type="dxa" w:w="5112"/>
            <w:vAlign w:val="center"/>
          </w:tcPr>
          <w:p>
            <w:pPr>
              <w:spacing w:after="0"/>
            </w:pPr>
            <w:r/>
            <w:r>
              <w:rPr>
                <w:rFonts w:ascii="Aptos" w:hAnsi="Aptos"/>
                <w:b w:val="0"/>
                <w:color w:val="222222"/>
                <w:sz w:val="18"/>
              </w:rPr>
              <w:t>Keep the wording, but identify it as a direct Tiffany Webb quote only after authorship/original wording is confirmed.</w:t>
            </w:r>
          </w:p>
        </w:tc>
      </w:tr>
    </w:tbl>
    <w:p>
      <w:pPr>
        <w:pStyle w:val="Heading1"/>
      </w:pPr>
      <w:r>
        <w:t>3. Section 12.2 - Location &amp; Availability</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2"/>
              </w:rPr>
              <w:t>Chicago, IL · Available Nationwide · Select International Opportunities</w:t>
            </w:r>
          </w:p>
        </w:tc>
      </w:tr>
    </w:tbl>
    <w:p>
      <w:r>
        <w:t>This communicates that Tiffany is based in Chicago while making it clear that organizations outside Illinois may inquire. “Select International Opportunities” leaves room for broader reach without implying an established international speaking footprint.</w:t>
      </w:r>
    </w:p>
    <w:p>
      <w:pPr>
        <w:pStyle w:val="Heading1"/>
      </w:pPr>
      <w:r>
        <w:t>4. Section 12.3 - Social Accounts</w:t>
      </w:r>
    </w:p>
    <w:p>
      <w:r>
        <w:t>Only link social channels that have an exact verified URL and enough current public content to strengthen credibility. Do not show an icon simply because an account exists.</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vAlign w:val="center"/>
            <w:shd w:fill="5B2A86"/>
          </w:tcPr>
          <w:p>
            <w:pPr>
              <w:spacing w:after="0"/>
            </w:pPr>
            <w:r/>
            <w:r>
              <w:rPr>
                <w:rFonts w:ascii="Aptos" w:hAnsi="Aptos"/>
                <w:b/>
                <w:color w:val="FFFFFF"/>
                <w:sz w:val="16"/>
              </w:rPr>
              <w:t>CHANNEL</w:t>
            </w:r>
          </w:p>
        </w:tc>
        <w:tc>
          <w:tcPr>
            <w:tcW w:type="dxa" w:w="3408"/>
            <w:vAlign w:val="center"/>
            <w:shd w:fill="5B2A86"/>
          </w:tcPr>
          <w:p>
            <w:pPr>
              <w:spacing w:after="0"/>
            </w:pPr>
            <w:r/>
            <w:r>
              <w:rPr>
                <w:rFonts w:ascii="Aptos" w:hAnsi="Aptos"/>
                <w:b/>
                <w:color w:val="FFFFFF"/>
                <w:sz w:val="16"/>
              </w:rPr>
              <w:t>STATUS</w:t>
            </w:r>
          </w:p>
        </w:tc>
        <w:tc>
          <w:tcPr>
            <w:tcW w:type="dxa" w:w="3408"/>
            <w:vAlign w:val="center"/>
            <w:shd w:fill="5B2A86"/>
          </w:tcPr>
          <w:p>
            <w:pPr>
              <w:spacing w:after="0"/>
            </w:pPr>
            <w:r/>
            <w:r>
              <w:rPr>
                <w:rFonts w:ascii="Aptos" w:hAnsi="Aptos"/>
                <w:b/>
                <w:color w:val="FFFFFF"/>
                <w:sz w:val="16"/>
              </w:rPr>
              <w:t>DEVELOPER RULE</w:t>
            </w:r>
          </w:p>
        </w:tc>
      </w:tr>
      <w:tr>
        <w:trPr>
          <w:cantSplit/>
        </w:trPr>
        <w:tc>
          <w:tcPr>
            <w:tcW w:type="dxa" w:w="3408"/>
            <w:vAlign w:val="center"/>
          </w:tcPr>
          <w:p>
            <w:pPr>
              <w:spacing w:after="0"/>
            </w:pPr>
            <w:r/>
            <w:r>
              <w:rPr>
                <w:rFonts w:ascii="Aptos" w:hAnsi="Aptos"/>
                <w:b/>
                <w:color w:val="5B2A86"/>
                <w:sz w:val="16"/>
              </w:rPr>
              <w:t>LinkedIn</w:t>
            </w:r>
          </w:p>
        </w:tc>
        <w:tc>
          <w:tcPr>
            <w:tcW w:type="dxa" w:w="3408"/>
            <w:vAlign w:val="center"/>
          </w:tcPr>
          <w:p>
            <w:pPr>
              <w:spacing w:after="0"/>
            </w:pPr>
            <w:r/>
            <w:r>
              <w:rPr>
                <w:rFonts w:ascii="Aptos" w:hAnsi="Aptos"/>
                <w:b w:val="0"/>
                <w:color w:val="222222"/>
                <w:sz w:val="16"/>
              </w:rPr>
              <w:t>Verify exact Tiffany Webb profile</w:t>
            </w:r>
          </w:p>
        </w:tc>
        <w:tc>
          <w:tcPr>
            <w:tcW w:type="dxa" w:w="3408"/>
            <w:vAlign w:val="center"/>
          </w:tcPr>
          <w:p>
            <w:pPr>
              <w:spacing w:after="0"/>
            </w:pPr>
            <w:r/>
            <w:r>
              <w:rPr>
                <w:rFonts w:ascii="Aptos" w:hAnsi="Aptos"/>
                <w:b w:val="0"/>
                <w:color w:val="222222"/>
                <w:sz w:val="16"/>
              </w:rPr>
              <w:t>Include only if active and professionally current.</w:t>
            </w:r>
          </w:p>
        </w:tc>
      </w:tr>
      <w:tr>
        <w:trPr>
          <w:cantSplit/>
        </w:trPr>
        <w:tc>
          <w:tcPr>
            <w:tcW w:type="dxa" w:w="3408"/>
            <w:vAlign w:val="center"/>
          </w:tcPr>
          <w:p>
            <w:pPr>
              <w:spacing w:after="0"/>
            </w:pPr>
            <w:r/>
            <w:r>
              <w:rPr>
                <w:rFonts w:ascii="Aptos" w:hAnsi="Aptos"/>
                <w:b/>
                <w:color w:val="5B2A86"/>
                <w:sz w:val="16"/>
              </w:rPr>
              <w:t>Instagram</w:t>
            </w:r>
          </w:p>
        </w:tc>
        <w:tc>
          <w:tcPr>
            <w:tcW w:type="dxa" w:w="3408"/>
            <w:vAlign w:val="center"/>
          </w:tcPr>
          <w:p>
            <w:pPr>
              <w:spacing w:after="0"/>
            </w:pPr>
            <w:r/>
            <w:r>
              <w:rPr>
                <w:rFonts w:ascii="Aptos" w:hAnsi="Aptos"/>
                <w:b w:val="0"/>
                <w:color w:val="222222"/>
                <w:sz w:val="16"/>
              </w:rPr>
              <w:t>Verify exact Tiffany Webb account</w:t>
            </w:r>
          </w:p>
        </w:tc>
        <w:tc>
          <w:tcPr>
            <w:tcW w:type="dxa" w:w="3408"/>
            <w:vAlign w:val="center"/>
          </w:tcPr>
          <w:p>
            <w:pPr>
              <w:spacing w:after="0"/>
            </w:pPr>
            <w:r/>
            <w:r>
              <w:rPr>
                <w:rFonts w:ascii="Aptos" w:hAnsi="Aptos"/>
                <w:b w:val="0"/>
                <w:color w:val="222222"/>
                <w:sz w:val="16"/>
              </w:rPr>
              <w:t>Include only if active and aligned with the current platform.</w:t>
            </w:r>
          </w:p>
        </w:tc>
      </w:tr>
      <w:tr>
        <w:trPr>
          <w:cantSplit/>
        </w:trPr>
        <w:tc>
          <w:tcPr>
            <w:tcW w:type="dxa" w:w="3408"/>
            <w:vAlign w:val="center"/>
          </w:tcPr>
          <w:p>
            <w:pPr>
              <w:spacing w:after="0"/>
            </w:pPr>
            <w:r/>
            <w:r>
              <w:rPr>
                <w:rFonts w:ascii="Aptos" w:hAnsi="Aptos"/>
                <w:b/>
                <w:color w:val="5B2A86"/>
                <w:sz w:val="16"/>
              </w:rPr>
              <w:t>YouTube</w:t>
            </w:r>
          </w:p>
        </w:tc>
        <w:tc>
          <w:tcPr>
            <w:tcW w:type="dxa" w:w="3408"/>
            <w:vAlign w:val="center"/>
          </w:tcPr>
          <w:p>
            <w:pPr>
              <w:spacing w:after="0"/>
            </w:pPr>
            <w:r/>
            <w:r>
              <w:rPr>
                <w:rFonts w:ascii="Aptos" w:hAnsi="Aptos"/>
                <w:b w:val="0"/>
                <w:color w:val="222222"/>
                <w:sz w:val="16"/>
              </w:rPr>
              <w:t>Verify</w:t>
            </w:r>
          </w:p>
        </w:tc>
        <w:tc>
          <w:tcPr>
            <w:tcW w:type="dxa" w:w="3408"/>
            <w:vAlign w:val="center"/>
          </w:tcPr>
          <w:p>
            <w:pPr>
              <w:spacing w:after="0"/>
            </w:pPr>
            <w:r/>
            <w:r>
              <w:rPr>
                <w:rFonts w:ascii="Aptos" w:hAnsi="Aptos"/>
                <w:b w:val="0"/>
                <w:color w:val="222222"/>
                <w:sz w:val="16"/>
              </w:rPr>
              <w:t>Omit if empty, inactive, or not presentation-ready.</w:t>
            </w:r>
          </w:p>
        </w:tc>
      </w:tr>
      <w:tr>
        <w:trPr>
          <w:cantSplit/>
        </w:trPr>
        <w:tc>
          <w:tcPr>
            <w:tcW w:type="dxa" w:w="3408"/>
            <w:vAlign w:val="center"/>
          </w:tcPr>
          <w:p>
            <w:pPr>
              <w:spacing w:after="0"/>
            </w:pPr>
            <w:r/>
            <w:r>
              <w:rPr>
                <w:rFonts w:ascii="Aptos" w:hAnsi="Aptos"/>
                <w:b/>
                <w:color w:val="5B2A86"/>
                <w:sz w:val="16"/>
              </w:rPr>
              <w:t>TikTok</w:t>
            </w:r>
          </w:p>
        </w:tc>
        <w:tc>
          <w:tcPr>
            <w:tcW w:type="dxa" w:w="3408"/>
            <w:vAlign w:val="center"/>
          </w:tcPr>
          <w:p>
            <w:pPr>
              <w:spacing w:after="0"/>
            </w:pPr>
            <w:r/>
            <w:r>
              <w:rPr>
                <w:rFonts w:ascii="Aptos" w:hAnsi="Aptos"/>
                <w:b w:val="0"/>
                <w:color w:val="222222"/>
                <w:sz w:val="16"/>
              </w:rPr>
              <w:t>Verify</w:t>
            </w:r>
          </w:p>
        </w:tc>
        <w:tc>
          <w:tcPr>
            <w:tcW w:type="dxa" w:w="3408"/>
            <w:vAlign w:val="center"/>
          </w:tcPr>
          <w:p>
            <w:pPr>
              <w:spacing w:after="0"/>
            </w:pPr>
            <w:r/>
            <w:r>
              <w:rPr>
                <w:rFonts w:ascii="Aptos" w:hAnsi="Aptos"/>
                <w:b w:val="0"/>
                <w:color w:val="222222"/>
                <w:sz w:val="16"/>
              </w:rPr>
              <w:t>Omit if empty, inactive, or not presentation-ready.</w:t>
            </w:r>
          </w:p>
        </w:tc>
      </w:tr>
      <w:tr>
        <w:trPr>
          <w:cantSplit/>
        </w:trPr>
        <w:tc>
          <w:tcPr>
            <w:tcW w:type="dxa" w:w="3408"/>
            <w:vAlign w:val="center"/>
          </w:tcPr>
          <w:p>
            <w:pPr>
              <w:spacing w:after="0"/>
            </w:pPr>
            <w:r/>
            <w:r>
              <w:rPr>
                <w:rFonts w:ascii="Aptos" w:hAnsi="Aptos"/>
                <w:b/>
                <w:color w:val="5B2A86"/>
                <w:sz w:val="16"/>
              </w:rPr>
              <w:t>Facebook</w:t>
            </w:r>
          </w:p>
        </w:tc>
        <w:tc>
          <w:tcPr>
            <w:tcW w:type="dxa" w:w="3408"/>
            <w:vAlign w:val="center"/>
          </w:tcPr>
          <w:p>
            <w:pPr>
              <w:spacing w:after="0"/>
            </w:pPr>
            <w:r/>
            <w:r>
              <w:rPr>
                <w:rFonts w:ascii="Aptos" w:hAnsi="Aptos"/>
                <w:b w:val="0"/>
                <w:color w:val="222222"/>
                <w:sz w:val="16"/>
              </w:rPr>
              <w:t>Verify</w:t>
            </w:r>
          </w:p>
        </w:tc>
        <w:tc>
          <w:tcPr>
            <w:tcW w:type="dxa" w:w="3408"/>
            <w:vAlign w:val="center"/>
          </w:tcPr>
          <w:p>
            <w:pPr>
              <w:spacing w:after="0"/>
            </w:pPr>
            <w:r/>
            <w:r>
              <w:rPr>
                <w:rFonts w:ascii="Aptos" w:hAnsi="Aptos"/>
                <w:b w:val="0"/>
                <w:color w:val="222222"/>
                <w:sz w:val="16"/>
              </w:rPr>
              <w:t>Include only if active and appropriate for the professional platform.</w:t>
            </w:r>
          </w:p>
        </w:tc>
      </w:tr>
      <w:tr>
        <w:trPr>
          <w:cantSplit/>
        </w:trPr>
        <w:tc>
          <w:tcPr>
            <w:tcW w:type="dxa" w:w="3408"/>
            <w:vAlign w:val="center"/>
          </w:tcPr>
          <w:p>
            <w:pPr>
              <w:spacing w:after="0"/>
            </w:pPr>
            <w:r/>
            <w:r>
              <w:rPr>
                <w:rFonts w:ascii="Aptos" w:hAnsi="Aptos"/>
                <w:b/>
                <w:color w:val="5B2A86"/>
                <w:sz w:val="16"/>
              </w:rPr>
              <w:t>GambleFreeGear</w:t>
            </w:r>
          </w:p>
        </w:tc>
        <w:tc>
          <w:tcPr>
            <w:tcW w:type="dxa" w:w="3408"/>
            <w:vAlign w:val="center"/>
          </w:tcPr>
          <w:p>
            <w:pPr>
              <w:spacing w:after="0"/>
            </w:pPr>
            <w:r/>
            <w:r>
              <w:rPr>
                <w:rFonts w:ascii="Aptos" w:hAnsi="Aptos"/>
                <w:b w:val="0"/>
                <w:color w:val="222222"/>
                <w:sz w:val="16"/>
              </w:rPr>
              <w:t>Use official GambleFreeGear destination</w:t>
            </w:r>
          </w:p>
        </w:tc>
        <w:tc>
          <w:tcPr>
            <w:tcW w:type="dxa" w:w="3408"/>
            <w:vAlign w:val="center"/>
          </w:tcPr>
          <w:p>
            <w:pPr>
              <w:spacing w:after="0"/>
            </w:pPr>
            <w:r/>
            <w:r>
              <w:rPr>
                <w:rFonts w:ascii="Aptos" w:hAnsi="Aptos"/>
                <w:b w:val="0"/>
                <w:color w:val="222222"/>
                <w:sz w:val="16"/>
              </w:rPr>
              <w:t>Treat as a related brand/platform link, not simply another Tiffany social icon.</w:t>
            </w:r>
          </w:p>
        </w:tc>
      </w:tr>
    </w:tbl>
    <w:p>
      <w:pPr>
        <w:pStyle w:val="Heading1"/>
      </w:pPr>
      <w:r>
        <w:t>5. Social Link Publication Rule</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ACTIVE + VERIFIED + CONTENT-READY = PUBLISH</w:t>
              <w:br/>
              <w:br/>
              <w:t>Empty, abandoned, unverified, or strategically misaligned account = OMIT</w:t>
            </w:r>
          </w:p>
        </w:tc>
      </w:tr>
    </w:tbl>
    <w:p>
      <w:r>
        <w:br w:type="page"/>
      </w:r>
    </w:p>
    <w:p>
      <w:pPr>
        <w:pStyle w:val="Heading1"/>
      </w:pPr>
      <w:r>
        <w:t>6. Section 12.4 - GambleFreeGear Footer Connection</w:t>
      </w:r>
    </w:p>
    <w:p>
      <w:r>
        <w:t>The current draft describes GambleFreeGear only as apparel. The footer should reflect the broader platform.</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val="0"/>
                <w:color w:val="222222"/>
                <w:sz w:val="20"/>
              </w:rPr>
              <w:t>Tiffany is the founder of GambleFreeGear™, a prevention-driven platform using apparel, creativity, community engagement, and conversation to raise awareness of gambling-related harm.</w:t>
              <w:br/>
              <w:br/>
              <w:t>CTA: Explore GambleFreeGear →</w:t>
            </w:r>
          </w:p>
        </w:tc>
      </w:tr>
    </w:tbl>
    <w:p>
      <w:r>
        <w:t>Link the CTA to the official public GambleFreeGear website/destination. Do not route visitors to an unrelated parent-company or commerce address unless Tiffany intentionally chooses that destination.</w:t>
      </w:r>
    </w:p>
    <w:p>
      <w:r>
        <w:t>GambleFreeGear should be presented as part of Tiffany's founder story and body of work while remaining visually distinct from the Tiffany Webb professional platform.</w:t>
      </w:r>
    </w:p>
    <w:p>
      <w:pPr>
        <w:pStyle w:val="Heading1"/>
      </w:pPr>
      <w:r>
        <w:t>7. Section 12.5 - Email Signup</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2"/>
              </w:rPr>
              <w:t>FINAL DECISION: YES - SET IT UP</w:t>
            </w:r>
          </w:p>
        </w:tc>
      </w:tr>
    </w:tbl>
    <w:p>
      <w:r>
        <w:t>The email list creates a direct audience relationship that does not depend on a social platform's algorithm. The signup should be simple and useful even if Tiffany sends only periodic updates.</w:t>
      </w:r>
    </w:p>
    <w:p>
      <w:pPr>
        <w:pStyle w:val="Heading1"/>
      </w:pPr>
      <w:r>
        <w:t>8. Newsletter Positioning</w:t>
      </w:r>
    </w:p>
    <w:p>
      <w:r>
        <w:t>Do not lead with the generic word “Newsletter.” Give visitors a reason to join.</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val="0"/>
                <w:color w:val="222222"/>
                <w:sz w:val="20"/>
              </w:rPr>
              <w:t>STAY CONNECTED TO THE WORK</w:t>
              <w:br/>
              <w:br/>
              <w:t>Ideas, field insights, new resources, speaking updates, community stories, GambleFreeGear projects, and what's next.</w:t>
              <w:br/>
              <w:br/>
              <w:t>[ Email Address ]   [ Stay Connected ]</w:t>
            </w:r>
          </w:p>
        </w:tc>
      </w:tr>
    </w:tbl>
    <w:p>
      <w:r>
        <w:t>Recommended cadence: monthly or when there is something meaningful to share. Do not promise a weekly or fixed publishing schedule unless Tiffany intentionally commits to one.</w:t>
      </w:r>
    </w:p>
    <w:p>
      <w:pPr>
        <w:pStyle w:val="Heading1"/>
      </w:pPr>
      <w:r>
        <w:t>9. Email Content Categories</w:t>
      </w:r>
    </w:p>
    <w:p>
      <w:pPr>
        <w:pStyle w:val="ListBullet"/>
      </w:pPr>
      <w:r>
        <w:t>Speaking and event updates</w:t>
      </w:r>
    </w:p>
    <w:p>
      <w:pPr>
        <w:pStyle w:val="ListBullet"/>
      </w:pPr>
      <w:r>
        <w:t>Prevention and community-engagement field insights</w:t>
      </w:r>
    </w:p>
    <w:p>
      <w:pPr>
        <w:pStyle w:val="ListBullet"/>
      </w:pPr>
      <w:r>
        <w:t>New resources and practical tools</w:t>
      </w:r>
    </w:p>
    <w:p>
      <w:pPr>
        <w:pStyle w:val="ListBullet"/>
      </w:pPr>
      <w:r>
        <w:t>Community stories and impact</w:t>
      </w:r>
    </w:p>
    <w:p>
      <w:pPr>
        <w:pStyle w:val="ListBullet"/>
      </w:pPr>
      <w:r>
        <w:t>GambleFreeGear projects and activations</w:t>
      </w:r>
    </w:p>
    <w:p>
      <w:pPr>
        <w:pStyle w:val="ListBullet"/>
      </w:pPr>
      <w:r>
        <w:t>GambleFree Friends developments when appropriate</w:t>
      </w:r>
    </w:p>
    <w:p>
      <w:pPr>
        <w:pStyle w:val="ListBullet"/>
      </w:pPr>
      <w:r>
        <w:t>New articles, media, interviews, or thought leadership</w:t>
      </w:r>
    </w:p>
    <w:p>
      <w:pPr>
        <w:pStyle w:val="ListBullet"/>
      </w:pPr>
      <w:r>
        <w:t>Important announcements and upcoming opportunities</w:t>
      </w:r>
    </w:p>
    <w:p>
      <w:pPr>
        <w:pStyle w:val="Heading1"/>
      </w:pPr>
      <w:r>
        <w:t>10. Email Signup Data &amp; Consent</w:t>
      </w:r>
    </w:p>
    <w:p>
      <w:pPr>
        <w:pStyle w:val="ListBullet"/>
      </w:pPr>
      <w:r>
        <w:t>Keep the initial signup simple; email address should be the primary required field.</w:t>
      </w:r>
    </w:p>
    <w:p>
      <w:pPr>
        <w:pStyle w:val="ListBullet"/>
      </w:pPr>
      <w:r>
        <w:t>Use clear consent language explaining that the subscriber is joining Tiffany Webb's email updates.</w:t>
      </w:r>
    </w:p>
    <w:p>
      <w:pPr>
        <w:pStyle w:val="ListBullet"/>
      </w:pPr>
      <w:r>
        <w:t>Do not automatically add booking-form contacts to the newsletter unless they separately consent.</w:t>
      </w:r>
    </w:p>
    <w:p>
      <w:pPr>
        <w:pStyle w:val="ListBullet"/>
      </w:pPr>
      <w:r>
        <w:t>Provide an unsubscribe mechanism in every marketing email.</w:t>
      </w:r>
    </w:p>
    <w:p>
      <w:pPr>
        <w:pStyle w:val="ListBullet"/>
      </w:pPr>
      <w:r>
        <w:t>Store subscriber data through the selected email-marketing platform rather than a public spreadsheet or webpage.</w:t>
      </w:r>
    </w:p>
    <w:p>
      <w:pPr>
        <w:pStyle w:val="Heading1"/>
      </w:pPr>
      <w:r>
        <w:t>11. Recommended Final Footer Architecture</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7"/>
              </w:rPr>
              <w:t>FOOTER AREA</w:t>
            </w:r>
          </w:p>
        </w:tc>
        <w:tc>
          <w:tcPr>
            <w:tcW w:type="dxa" w:w="5112"/>
            <w:vAlign w:val="center"/>
            <w:shd w:fill="5B2A86"/>
          </w:tcPr>
          <w:p>
            <w:pPr>
              <w:spacing w:after="0"/>
            </w:pPr>
            <w:r/>
            <w:r>
              <w:rPr>
                <w:rFonts w:ascii="Aptos" w:hAnsi="Aptos"/>
                <w:b/>
                <w:color w:val="FFFFFF"/>
                <w:sz w:val="17"/>
              </w:rPr>
              <w:t>CONTENT</w:t>
            </w:r>
          </w:p>
        </w:tc>
      </w:tr>
      <w:tr>
        <w:trPr>
          <w:cantSplit/>
        </w:trPr>
        <w:tc>
          <w:tcPr>
            <w:tcW w:type="dxa" w:w="5112"/>
            <w:vAlign w:val="center"/>
          </w:tcPr>
          <w:p>
            <w:pPr>
              <w:spacing w:after="0"/>
            </w:pPr>
            <w:r/>
            <w:r>
              <w:rPr>
                <w:rFonts w:ascii="Aptos" w:hAnsi="Aptos"/>
                <w:b/>
                <w:color w:val="5B2A86"/>
                <w:sz w:val="17"/>
              </w:rPr>
              <w:t>TIFFANY WEBB</w:t>
            </w:r>
          </w:p>
        </w:tc>
        <w:tc>
          <w:tcPr>
            <w:tcW w:type="dxa" w:w="5112"/>
            <w:vAlign w:val="center"/>
          </w:tcPr>
          <w:p>
            <w:pPr>
              <w:spacing w:after="0"/>
            </w:pPr>
            <w:r/>
            <w:r>
              <w:rPr>
                <w:rFonts w:ascii="Aptos" w:hAnsi="Aptos"/>
                <w:b w:val="0"/>
                <w:color w:val="222222"/>
                <w:sz w:val="17"/>
              </w:rPr>
              <w:t>Faith. Family. Community. Purpose. Impact.</w:t>
              <w:br/>
              <w:t>Chicago, IL · Available Nationwide · Select International Opportunities</w:t>
            </w:r>
          </w:p>
        </w:tc>
      </w:tr>
      <w:tr>
        <w:trPr>
          <w:cantSplit/>
        </w:trPr>
        <w:tc>
          <w:tcPr>
            <w:tcW w:type="dxa" w:w="5112"/>
            <w:vAlign w:val="center"/>
          </w:tcPr>
          <w:p>
            <w:pPr>
              <w:spacing w:after="0"/>
            </w:pPr>
            <w:r/>
            <w:r>
              <w:rPr>
                <w:rFonts w:ascii="Aptos" w:hAnsi="Aptos"/>
                <w:b/>
                <w:color w:val="5B2A86"/>
                <w:sz w:val="17"/>
              </w:rPr>
              <w:t>EXPLORE</w:t>
            </w:r>
          </w:p>
        </w:tc>
        <w:tc>
          <w:tcPr>
            <w:tcW w:type="dxa" w:w="5112"/>
            <w:vAlign w:val="center"/>
          </w:tcPr>
          <w:p>
            <w:pPr>
              <w:spacing w:after="0"/>
            </w:pPr>
            <w:r/>
            <w:r>
              <w:rPr>
                <w:rFonts w:ascii="Aptos" w:hAnsi="Aptos"/>
                <w:b w:val="0"/>
                <w:color w:val="222222"/>
                <w:sz w:val="17"/>
              </w:rPr>
              <w:t>About · Speaking Topics · Ways to Work With Me · Events &amp; Impact · Media Kit · Booking</w:t>
            </w:r>
          </w:p>
        </w:tc>
      </w:tr>
      <w:tr>
        <w:trPr>
          <w:cantSplit/>
        </w:trPr>
        <w:tc>
          <w:tcPr>
            <w:tcW w:type="dxa" w:w="5112"/>
            <w:vAlign w:val="center"/>
          </w:tcPr>
          <w:p>
            <w:pPr>
              <w:spacing w:after="0"/>
            </w:pPr>
            <w:r/>
            <w:r>
              <w:rPr>
                <w:rFonts w:ascii="Aptos" w:hAnsi="Aptos"/>
                <w:b/>
                <w:color w:val="5B2A86"/>
                <w:sz w:val="17"/>
              </w:rPr>
              <w:t>CONNECT</w:t>
            </w:r>
          </w:p>
        </w:tc>
        <w:tc>
          <w:tcPr>
            <w:tcW w:type="dxa" w:w="5112"/>
            <w:vAlign w:val="center"/>
          </w:tcPr>
          <w:p>
            <w:pPr>
              <w:spacing w:after="0"/>
            </w:pPr>
            <w:r/>
            <w:r>
              <w:rPr>
                <w:rFonts w:ascii="Aptos" w:hAnsi="Aptos"/>
                <w:b w:val="0"/>
                <w:color w:val="222222"/>
                <w:sz w:val="17"/>
              </w:rPr>
              <w:t>Approved active social accounts only</w:t>
              <w:br/>
              <w:t>booking@tiffanywebbimpact.com</w:t>
            </w:r>
          </w:p>
        </w:tc>
      </w:tr>
      <w:tr>
        <w:trPr>
          <w:cantSplit/>
        </w:trPr>
        <w:tc>
          <w:tcPr>
            <w:tcW w:type="dxa" w:w="5112"/>
            <w:vAlign w:val="center"/>
          </w:tcPr>
          <w:p>
            <w:pPr>
              <w:spacing w:after="0"/>
            </w:pPr>
            <w:r/>
            <w:r>
              <w:rPr>
                <w:rFonts w:ascii="Aptos" w:hAnsi="Aptos"/>
                <w:b/>
                <w:color w:val="5B2A86"/>
                <w:sz w:val="17"/>
              </w:rPr>
              <w:t>STAY CONNECTED</w:t>
            </w:r>
          </w:p>
        </w:tc>
        <w:tc>
          <w:tcPr>
            <w:tcW w:type="dxa" w:w="5112"/>
            <w:vAlign w:val="center"/>
          </w:tcPr>
          <w:p>
            <w:pPr>
              <w:spacing w:after="0"/>
            </w:pPr>
            <w:r/>
            <w:r>
              <w:rPr>
                <w:rFonts w:ascii="Aptos" w:hAnsi="Aptos"/>
                <w:b w:val="0"/>
                <w:color w:val="222222"/>
                <w:sz w:val="17"/>
              </w:rPr>
              <w:t>Email signup + short value statement</w:t>
            </w:r>
          </w:p>
        </w:tc>
      </w:tr>
      <w:tr>
        <w:trPr>
          <w:cantSplit/>
        </w:trPr>
        <w:tc>
          <w:tcPr>
            <w:tcW w:type="dxa" w:w="5112"/>
            <w:vAlign w:val="center"/>
          </w:tcPr>
          <w:p>
            <w:pPr>
              <w:spacing w:after="0"/>
            </w:pPr>
            <w:r/>
            <w:r>
              <w:rPr>
                <w:rFonts w:ascii="Aptos" w:hAnsi="Aptos"/>
                <w:b/>
                <w:color w:val="5B2A86"/>
                <w:sz w:val="17"/>
              </w:rPr>
              <w:t>GAMBLEFREEGEAR</w:t>
            </w:r>
          </w:p>
        </w:tc>
        <w:tc>
          <w:tcPr>
            <w:tcW w:type="dxa" w:w="5112"/>
            <w:vAlign w:val="center"/>
          </w:tcPr>
          <w:p>
            <w:pPr>
              <w:spacing w:after="0"/>
            </w:pPr>
            <w:r/>
            <w:r>
              <w:rPr>
                <w:rFonts w:ascii="Aptos" w:hAnsi="Aptos"/>
                <w:b w:val="0"/>
                <w:color w:val="222222"/>
                <w:sz w:val="17"/>
              </w:rPr>
              <w:t>Founder line + Explore GambleFreeGear CTA</w:t>
            </w:r>
          </w:p>
        </w:tc>
      </w:tr>
      <w:tr>
        <w:trPr>
          <w:cantSplit/>
        </w:trPr>
        <w:tc>
          <w:tcPr>
            <w:tcW w:type="dxa" w:w="5112"/>
            <w:vAlign w:val="center"/>
          </w:tcPr>
          <w:p>
            <w:pPr>
              <w:spacing w:after="0"/>
            </w:pPr>
            <w:r/>
            <w:r>
              <w:rPr>
                <w:rFonts w:ascii="Aptos" w:hAnsi="Aptos"/>
                <w:b/>
                <w:color w:val="5B2A86"/>
                <w:sz w:val="17"/>
              </w:rPr>
              <w:t>BOTTOM LEGAL BAR</w:t>
            </w:r>
          </w:p>
        </w:tc>
        <w:tc>
          <w:tcPr>
            <w:tcW w:type="dxa" w:w="5112"/>
            <w:vAlign w:val="center"/>
          </w:tcPr>
          <w:p>
            <w:pPr>
              <w:spacing w:after="0"/>
            </w:pPr>
            <w:r/>
            <w:r>
              <w:rPr>
                <w:rFonts w:ascii="Aptos" w:hAnsi="Aptos"/>
                <w:b w:val="0"/>
                <w:color w:val="222222"/>
                <w:sz w:val="17"/>
              </w:rPr>
              <w:t>Privacy · Terms · Accessibility · © Tiffany Webb</w:t>
            </w:r>
          </w:p>
        </w:tc>
      </w:tr>
    </w:tbl>
    <w:p>
      <w:pPr>
        <w:pStyle w:val="Heading1"/>
      </w:pPr>
      <w:r>
        <w:t>12. Recommended Visual Hierarchy</w:t>
      </w:r>
    </w:p>
    <w:p>
      <w:r>
        <w:t>Desktop: use a clean multi-column footer with Tiffany's identity/values, navigation, connection information, and email signup given balanced visual weight. The GambleFreeGear founder line can sit in its own band or clearly separated row above the legal bar.</w:t>
      </w:r>
    </w:p>
    <w:p>
      <w:r>
        <w:t>Mobile: stack the sections in a logical order: Tiffany Webb → Stay Connected → Explore → Connect → GambleFreeGear → Legal. Avoid dense clusters of tiny links.</w:t>
      </w:r>
    </w:p>
    <w:p>
      <w:pPr>
        <w:pStyle w:val="Heading1"/>
        <w:pageBreakBefore/>
      </w:pPr>
      <w:r>
        <w:t>13. Developer Rules - Non-Negotiable</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6"/>
              </w:rPr>
              <w:t>RULE</w:t>
            </w:r>
          </w:p>
        </w:tc>
        <w:tc>
          <w:tcPr>
            <w:tcW w:type="dxa" w:w="5112"/>
            <w:vAlign w:val="center"/>
            <w:shd w:fill="5B2A86"/>
          </w:tcPr>
          <w:p>
            <w:pPr>
              <w:spacing w:after="0"/>
            </w:pPr>
            <w:r/>
            <w:r>
              <w:rPr>
                <w:rFonts w:ascii="Aptos" w:hAnsi="Aptos"/>
                <w:b/>
                <w:color w:val="FFFFFF"/>
                <w:sz w:val="16"/>
              </w:rPr>
              <w:t>IMPLEMENTATION</w:t>
            </w:r>
          </w:p>
        </w:tc>
      </w:tr>
      <w:tr>
        <w:trPr>
          <w:cantSplit/>
        </w:trPr>
        <w:tc>
          <w:tcPr>
            <w:tcW w:type="dxa" w:w="5112"/>
            <w:vAlign w:val="center"/>
          </w:tcPr>
          <w:p>
            <w:pPr>
              <w:spacing w:after="0"/>
            </w:pPr>
            <w:r/>
            <w:r>
              <w:rPr>
                <w:rFonts w:ascii="Aptos" w:hAnsi="Aptos"/>
                <w:b/>
                <w:color w:val="5B2A86"/>
                <w:sz w:val="16"/>
              </w:rPr>
              <w:t>Values</w:t>
            </w:r>
          </w:p>
        </w:tc>
        <w:tc>
          <w:tcPr>
            <w:tcW w:type="dxa" w:w="5112"/>
            <w:vAlign w:val="center"/>
          </w:tcPr>
          <w:p>
            <w:pPr>
              <w:spacing w:after="0"/>
            </w:pPr>
            <w:r/>
            <w:r>
              <w:rPr>
                <w:rFonts w:ascii="Aptos" w:hAnsi="Aptos"/>
                <w:b w:val="0"/>
                <w:color w:val="222222"/>
                <w:sz w:val="16"/>
              </w:rPr>
              <w:t>Use the approved values line exactly unless Tiffany later revises it.</w:t>
            </w:r>
          </w:p>
        </w:tc>
      </w:tr>
      <w:tr>
        <w:trPr>
          <w:cantSplit/>
        </w:trPr>
        <w:tc>
          <w:tcPr>
            <w:tcW w:type="dxa" w:w="5112"/>
            <w:vAlign w:val="center"/>
          </w:tcPr>
          <w:p>
            <w:pPr>
              <w:spacing w:after="0"/>
            </w:pPr>
            <w:r/>
            <w:r>
              <w:rPr>
                <w:rFonts w:ascii="Aptos" w:hAnsi="Aptos"/>
                <w:b/>
                <w:color w:val="5B2A86"/>
                <w:sz w:val="16"/>
              </w:rPr>
              <w:t>Quote attribution</w:t>
            </w:r>
          </w:p>
        </w:tc>
        <w:tc>
          <w:tcPr>
            <w:tcW w:type="dxa" w:w="5112"/>
            <w:vAlign w:val="center"/>
          </w:tcPr>
          <w:p>
            <w:pPr>
              <w:spacing w:after="0"/>
            </w:pPr>
            <w:r/>
            <w:r>
              <w:rPr>
                <w:rFonts w:ascii="Aptos" w:hAnsi="Aptos"/>
                <w:b w:val="0"/>
                <w:color w:val="222222"/>
                <w:sz w:val="16"/>
              </w:rPr>
              <w:t>Do not label the quote as Tiffany's original quote until authorship is confirmed.</w:t>
            </w:r>
          </w:p>
        </w:tc>
      </w:tr>
      <w:tr>
        <w:trPr>
          <w:cantSplit/>
        </w:trPr>
        <w:tc>
          <w:tcPr>
            <w:tcW w:type="dxa" w:w="5112"/>
            <w:vAlign w:val="center"/>
          </w:tcPr>
          <w:p>
            <w:pPr>
              <w:spacing w:after="0"/>
            </w:pPr>
            <w:r/>
            <w:r>
              <w:rPr>
                <w:rFonts w:ascii="Aptos" w:hAnsi="Aptos"/>
                <w:b/>
                <w:color w:val="5B2A86"/>
                <w:sz w:val="16"/>
              </w:rPr>
              <w:t>Location</w:t>
            </w:r>
          </w:p>
        </w:tc>
        <w:tc>
          <w:tcPr>
            <w:tcW w:type="dxa" w:w="5112"/>
            <w:vAlign w:val="center"/>
          </w:tcPr>
          <w:p>
            <w:pPr>
              <w:spacing w:after="0"/>
            </w:pPr>
            <w:r/>
            <w:r>
              <w:rPr>
                <w:rFonts w:ascii="Aptos" w:hAnsi="Aptos"/>
                <w:b w:val="0"/>
                <w:color w:val="222222"/>
                <w:sz w:val="16"/>
              </w:rPr>
              <w:t>Use the approved Chicago / nationwide / select international wording.</w:t>
            </w:r>
          </w:p>
        </w:tc>
      </w:tr>
      <w:tr>
        <w:trPr>
          <w:cantSplit/>
        </w:trPr>
        <w:tc>
          <w:tcPr>
            <w:tcW w:type="dxa" w:w="5112"/>
            <w:vAlign w:val="center"/>
          </w:tcPr>
          <w:p>
            <w:pPr>
              <w:spacing w:after="0"/>
            </w:pPr>
            <w:r/>
            <w:r>
              <w:rPr>
                <w:rFonts w:ascii="Aptos" w:hAnsi="Aptos"/>
                <w:b/>
                <w:color w:val="5B2A86"/>
                <w:sz w:val="16"/>
              </w:rPr>
              <w:t>Social accounts</w:t>
            </w:r>
          </w:p>
        </w:tc>
        <w:tc>
          <w:tcPr>
            <w:tcW w:type="dxa" w:w="5112"/>
            <w:vAlign w:val="center"/>
          </w:tcPr>
          <w:p>
            <w:pPr>
              <w:spacing w:after="0"/>
            </w:pPr>
            <w:r/>
            <w:r>
              <w:rPr>
                <w:rFonts w:ascii="Aptos" w:hAnsi="Aptos"/>
                <w:b w:val="0"/>
                <w:color w:val="222222"/>
                <w:sz w:val="16"/>
              </w:rPr>
              <w:t>Publish only exact, verified, content-ready links.</w:t>
            </w:r>
          </w:p>
        </w:tc>
      </w:tr>
      <w:tr>
        <w:trPr>
          <w:cantSplit/>
        </w:trPr>
        <w:tc>
          <w:tcPr>
            <w:tcW w:type="dxa" w:w="5112"/>
            <w:vAlign w:val="center"/>
          </w:tcPr>
          <w:p>
            <w:pPr>
              <w:spacing w:after="0"/>
            </w:pPr>
            <w:r/>
            <w:r>
              <w:rPr>
                <w:rFonts w:ascii="Aptos" w:hAnsi="Aptos"/>
                <w:b/>
                <w:color w:val="5B2A86"/>
                <w:sz w:val="16"/>
              </w:rPr>
              <w:t>GambleFreeGear</w:t>
            </w:r>
          </w:p>
        </w:tc>
        <w:tc>
          <w:tcPr>
            <w:tcW w:type="dxa" w:w="5112"/>
            <w:vAlign w:val="center"/>
          </w:tcPr>
          <w:p>
            <w:pPr>
              <w:spacing w:after="0"/>
            </w:pPr>
            <w:r/>
            <w:r>
              <w:rPr>
                <w:rFonts w:ascii="Aptos" w:hAnsi="Aptos"/>
                <w:b w:val="0"/>
                <w:color w:val="222222"/>
                <w:sz w:val="16"/>
              </w:rPr>
              <w:t>Use the approved broader founder description and official destination.</w:t>
            </w:r>
          </w:p>
        </w:tc>
      </w:tr>
      <w:tr>
        <w:trPr>
          <w:cantSplit/>
        </w:trPr>
        <w:tc>
          <w:tcPr>
            <w:tcW w:type="dxa" w:w="5112"/>
            <w:vAlign w:val="center"/>
          </w:tcPr>
          <w:p>
            <w:pPr>
              <w:spacing w:after="0"/>
            </w:pPr>
            <w:r/>
            <w:r>
              <w:rPr>
                <w:rFonts w:ascii="Aptos" w:hAnsi="Aptos"/>
                <w:b/>
                <w:color w:val="5B2A86"/>
                <w:sz w:val="16"/>
              </w:rPr>
              <w:t>Email signup</w:t>
            </w:r>
          </w:p>
        </w:tc>
        <w:tc>
          <w:tcPr>
            <w:tcW w:type="dxa" w:w="5112"/>
            <w:vAlign w:val="center"/>
          </w:tcPr>
          <w:p>
            <w:pPr>
              <w:spacing w:after="0"/>
            </w:pPr>
            <w:r/>
            <w:r>
              <w:rPr>
                <w:rFonts w:ascii="Aptos" w:hAnsi="Aptos"/>
                <w:b w:val="0"/>
                <w:color w:val="222222"/>
                <w:sz w:val="16"/>
              </w:rPr>
              <w:t>Build a functioning signup, not a decorative email field.</w:t>
            </w:r>
          </w:p>
        </w:tc>
      </w:tr>
      <w:tr>
        <w:trPr>
          <w:cantSplit/>
        </w:trPr>
        <w:tc>
          <w:tcPr>
            <w:tcW w:type="dxa" w:w="5112"/>
            <w:vAlign w:val="center"/>
          </w:tcPr>
          <w:p>
            <w:pPr>
              <w:spacing w:after="0"/>
            </w:pPr>
            <w:r/>
            <w:r>
              <w:rPr>
                <w:rFonts w:ascii="Aptos" w:hAnsi="Aptos"/>
                <w:b/>
                <w:color w:val="5B2A86"/>
                <w:sz w:val="16"/>
              </w:rPr>
              <w:t>Separate consent</w:t>
            </w:r>
          </w:p>
        </w:tc>
        <w:tc>
          <w:tcPr>
            <w:tcW w:type="dxa" w:w="5112"/>
            <w:vAlign w:val="center"/>
          </w:tcPr>
          <w:p>
            <w:pPr>
              <w:spacing w:after="0"/>
            </w:pPr>
            <w:r/>
            <w:r>
              <w:rPr>
                <w:rFonts w:ascii="Aptos" w:hAnsi="Aptos"/>
                <w:b w:val="0"/>
                <w:color w:val="222222"/>
                <w:sz w:val="16"/>
              </w:rPr>
              <w:t>Do not enroll booking inquiries into marketing email automatically.</w:t>
            </w:r>
          </w:p>
        </w:tc>
      </w:tr>
      <w:tr>
        <w:trPr>
          <w:cantSplit/>
        </w:trPr>
        <w:tc>
          <w:tcPr>
            <w:tcW w:type="dxa" w:w="5112"/>
            <w:vAlign w:val="center"/>
          </w:tcPr>
          <w:p>
            <w:pPr>
              <w:spacing w:after="0"/>
            </w:pPr>
            <w:r/>
            <w:r>
              <w:rPr>
                <w:rFonts w:ascii="Aptos" w:hAnsi="Aptos"/>
                <w:b/>
                <w:color w:val="5B2A86"/>
                <w:sz w:val="16"/>
              </w:rPr>
              <w:t>Booking contact</w:t>
            </w:r>
          </w:p>
        </w:tc>
        <w:tc>
          <w:tcPr>
            <w:tcW w:type="dxa" w:w="5112"/>
            <w:vAlign w:val="center"/>
          </w:tcPr>
          <w:p>
            <w:pPr>
              <w:spacing w:after="0"/>
            </w:pPr>
            <w:r/>
            <w:r>
              <w:rPr>
                <w:rFonts w:ascii="Aptos" w:hAnsi="Aptos"/>
                <w:b w:val="0"/>
                <w:color w:val="222222"/>
                <w:sz w:val="16"/>
              </w:rPr>
              <w:t>Use booking@tiffanywebbimpact.com; do not expose a work/employment email.</w:t>
            </w:r>
          </w:p>
        </w:tc>
      </w:tr>
      <w:tr>
        <w:trPr>
          <w:cantSplit/>
        </w:trPr>
        <w:tc>
          <w:tcPr>
            <w:tcW w:type="dxa" w:w="5112"/>
            <w:vAlign w:val="center"/>
          </w:tcPr>
          <w:p>
            <w:pPr>
              <w:spacing w:after="0"/>
            </w:pPr>
            <w:r/>
            <w:r>
              <w:rPr>
                <w:rFonts w:ascii="Aptos" w:hAnsi="Aptos"/>
                <w:b/>
                <w:color w:val="5B2A86"/>
                <w:sz w:val="16"/>
              </w:rPr>
              <w:t>No public phone</w:t>
            </w:r>
          </w:p>
        </w:tc>
        <w:tc>
          <w:tcPr>
            <w:tcW w:type="dxa" w:w="5112"/>
            <w:vAlign w:val="center"/>
          </w:tcPr>
          <w:p>
            <w:pPr>
              <w:spacing w:after="0"/>
            </w:pPr>
            <w:r/>
            <w:r>
              <w:rPr>
                <w:rFonts w:ascii="Aptos" w:hAnsi="Aptos"/>
                <w:b w:val="0"/>
                <w:color w:val="222222"/>
                <w:sz w:val="16"/>
              </w:rPr>
              <w:t>Maintain the Section 11 decision not to publish Tiffany's direct phone number at launch.</w:t>
            </w:r>
          </w:p>
        </w:tc>
      </w:tr>
      <w:tr>
        <w:trPr>
          <w:cantSplit/>
        </w:trPr>
        <w:tc>
          <w:tcPr>
            <w:tcW w:type="dxa" w:w="5112"/>
            <w:vAlign w:val="center"/>
          </w:tcPr>
          <w:p>
            <w:pPr>
              <w:spacing w:after="0"/>
            </w:pPr>
            <w:r/>
            <w:r>
              <w:rPr>
                <w:rFonts w:ascii="Aptos" w:hAnsi="Aptos"/>
                <w:b/>
                <w:color w:val="5B2A86"/>
                <w:sz w:val="16"/>
              </w:rPr>
              <w:t>Responsive design</w:t>
            </w:r>
          </w:p>
        </w:tc>
        <w:tc>
          <w:tcPr>
            <w:tcW w:type="dxa" w:w="5112"/>
            <w:vAlign w:val="center"/>
          </w:tcPr>
          <w:p>
            <w:pPr>
              <w:spacing w:after="0"/>
            </w:pPr>
            <w:r/>
            <w:r>
              <w:rPr>
                <w:rFonts w:ascii="Aptos" w:hAnsi="Aptos"/>
                <w:b w:val="0"/>
                <w:color w:val="222222"/>
                <w:sz w:val="16"/>
              </w:rPr>
              <w:t>Footer must remain readable and easy to navigate on mobile.</w:t>
            </w:r>
          </w:p>
        </w:tc>
      </w:tr>
      <w:tr>
        <w:trPr>
          <w:cantSplit/>
        </w:trPr>
        <w:tc>
          <w:tcPr>
            <w:tcW w:type="dxa" w:w="5112"/>
            <w:vAlign w:val="center"/>
          </w:tcPr>
          <w:p>
            <w:pPr>
              <w:spacing w:after="0"/>
            </w:pPr>
            <w:r/>
            <w:r>
              <w:rPr>
                <w:rFonts w:ascii="Aptos" w:hAnsi="Aptos"/>
                <w:b/>
                <w:color w:val="5B2A86"/>
                <w:sz w:val="16"/>
              </w:rPr>
              <w:t>Accessibility</w:t>
            </w:r>
          </w:p>
        </w:tc>
        <w:tc>
          <w:tcPr>
            <w:tcW w:type="dxa" w:w="5112"/>
            <w:vAlign w:val="center"/>
          </w:tcPr>
          <w:p>
            <w:pPr>
              <w:spacing w:after="0"/>
            </w:pPr>
            <w:r/>
            <w:r>
              <w:rPr>
                <w:rFonts w:ascii="Aptos" w:hAnsi="Aptos"/>
                <w:b w:val="0"/>
                <w:color w:val="222222"/>
                <w:sz w:val="16"/>
              </w:rPr>
              <w:t>Use descriptive link labels, keyboard-accessible signup controls, visible focus states, and adequate contrast.</w:t>
            </w:r>
          </w:p>
        </w:tc>
      </w:tr>
      <w:tr>
        <w:trPr>
          <w:cantSplit/>
        </w:trPr>
        <w:tc>
          <w:tcPr>
            <w:tcW w:type="dxa" w:w="5112"/>
            <w:vAlign w:val="center"/>
          </w:tcPr>
          <w:p>
            <w:pPr>
              <w:spacing w:after="0"/>
            </w:pPr>
            <w:r/>
            <w:r>
              <w:rPr>
                <w:rFonts w:ascii="Aptos" w:hAnsi="Aptos"/>
                <w:b/>
                <w:color w:val="5B2A86"/>
                <w:sz w:val="16"/>
              </w:rPr>
              <w:t>Maintainability</w:t>
            </w:r>
          </w:p>
        </w:tc>
        <w:tc>
          <w:tcPr>
            <w:tcW w:type="dxa" w:w="5112"/>
            <w:vAlign w:val="center"/>
          </w:tcPr>
          <w:p>
            <w:pPr>
              <w:spacing w:after="0"/>
            </w:pPr>
            <w:r/>
            <w:r>
              <w:rPr>
                <w:rFonts w:ascii="Aptos" w:hAnsi="Aptos"/>
                <w:b w:val="0"/>
                <w:color w:val="222222"/>
                <w:sz w:val="16"/>
              </w:rPr>
              <w:t>Social links, footer navigation, email copy, and GambleFreeGear destination should be editable without redesign.</w:t>
            </w:r>
          </w:p>
        </w:tc>
      </w:tr>
    </w:tbl>
    <w:p>
      <w:r>
        <w:br w:type="page"/>
      </w:r>
    </w:p>
    <w:p>
      <w:pPr>
        <w:pStyle w:val="Heading1"/>
      </w:pPr>
      <w:r>
        <w:t>14. Footer Copy - Developer Reference</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val="0"/>
                <w:color w:val="222222"/>
                <w:sz w:val="19"/>
              </w:rPr>
              <w:t>TIFFANY WEBB</w:t>
              <w:br/>
              <w:br/>
              <w:t>Faith. Family. Community. Purpose. Impact.</w:t>
              <w:br/>
              <w:br/>
              <w:t>Chicago, IL · Available Nationwide · Select International Opportunities</w:t>
              <w:br/>
              <w:br/>
              <w:t>“Every conversation is an opportunity to plant a seed of hope, strengthen a community, and inspire meaningful change.”</w:t>
              <w:br/>
              <w:t>[Attribution pending confirmation]</w:t>
              <w:br/>
              <w:br/>
              <w:t>EXPLORE</w:t>
              <w:br/>
              <w:t>About · Speaking Topics · Ways to Work With Me · Events &amp; Impact · Media Kit · Booking</w:t>
              <w:br/>
              <w:br/>
              <w:t>CONNECT</w:t>
              <w:br/>
              <w:t>booking@tiffanywebbimpact.com</w:t>
              <w:br/>
              <w:t>[Approved social icons only]</w:t>
              <w:br/>
              <w:br/>
              <w:t>STAY CONNECTED TO THE WORK</w:t>
              <w:br/>
              <w:t>Ideas, field insights, new resources, speaking updates, community stories, GambleFreeGear projects, and what's next.</w:t>
              <w:br/>
              <w:t>[Email Address] [Stay Connected]</w:t>
              <w:br/>
              <w:br/>
              <w:t>GAMBLEFREEGEAR</w:t>
              <w:br/>
              <w:t>Tiffany is the founder of GambleFreeGear™, a prevention-driven platform using apparel, creativity, community engagement, and conversation to raise awareness of gambling-related harm.</w:t>
              <w:br/>
              <w:t>Explore GambleFreeGear →</w:t>
              <w:br/>
              <w:br/>
              <w:t>Privacy · Terms · Accessibility · © Tiffany Webb</w:t>
            </w:r>
          </w:p>
        </w:tc>
      </w:tr>
    </w:tbl>
    <w:p>
      <w:pPr>
        <w:pStyle w:val="Heading1"/>
      </w:pPr>
      <w:r>
        <w:t>15. Pre-Launch Checklist</w:t>
      </w:r>
    </w:p>
    <w:p>
      <w:r>
        <w:t>☐ Values line is correct.</w:t>
      </w:r>
    </w:p>
    <w:p>
      <w:r>
        <w:t>☐ Quote authorship/attribution has been confirmed or attribution remains omitted.</w:t>
      </w:r>
    </w:p>
    <w:p>
      <w:r>
        <w:t>☐ Location line uses approved wording.</w:t>
      </w:r>
    </w:p>
    <w:p>
      <w:r>
        <w:t>☐ Every displayed social URL has been tested.</w:t>
      </w:r>
    </w:p>
    <w:p>
      <w:r>
        <w:t>☐ Empty/inactive social accounts are omitted.</w:t>
      </w:r>
    </w:p>
    <w:p>
      <w:r>
        <w:t>☐ GambleFreeGear CTA points to the intended official destination.</w:t>
      </w:r>
    </w:p>
    <w:p>
      <w:r>
        <w:t>☐ Newsletter/email platform is connected and tested.</w:t>
      </w:r>
    </w:p>
    <w:p>
      <w:r>
        <w:t>☐ Signup consent language is present.</w:t>
      </w:r>
    </w:p>
    <w:p>
      <w:r>
        <w:t>☐ Unsubscribe functionality is supported.</w:t>
      </w:r>
    </w:p>
    <w:p>
      <w:r>
        <w:t>☐ Booking contacts are not automatically subscribed without consent.</w:t>
      </w:r>
    </w:p>
    <w:p>
      <w:r>
        <w:t>☐ booking@tiffanywebbimpact.com is working.</w:t>
      </w:r>
    </w:p>
    <w:p>
      <w:r>
        <w:t>☐ No direct phone number or employment/work email is exposed.</w:t>
      </w:r>
    </w:p>
    <w:p>
      <w:r>
        <w:t>☐ Privacy, Terms, and Accessibility links point to real pages.</w:t>
      </w:r>
    </w:p>
    <w:p>
      <w:r>
        <w:t>☐ Footer is tested on desktop and mobile.</w:t>
      </w:r>
    </w:p>
    <w:p>
      <w:r>
        <w:t>☐ All footer links are keyboard accessible and visually readable.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Tiffany Webb | Section 12 Footer Website Development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2A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2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5B2A8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