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20E"/>
          <w:sz w:val="26"/>
        </w:rPr>
        <w:t>TIFFANY WEBB — WEBSITE DESIGN GUIDE</w:t>
      </w:r>
    </w:p>
    <w:p>
      <w:pPr>
        <w:jc w:val="center"/>
      </w:pPr>
      <w:r>
        <w:rPr>
          <w:b/>
          <w:color w:val="D9AE4A"/>
          <w:sz w:val="46"/>
        </w:rPr>
        <w:t>GambleFreeGear Website Integration</w:t>
      </w:r>
    </w:p>
    <w:tbl>
      <w:tblPr>
        <w:tblW w:type="auto" w:w="0"/>
        <w:jc w:val="center"/>
        <w:tblLook w:firstColumn="1" w:firstRow="1" w:lastColumn="0" w:lastRow="0" w:noHBand="0" w:noVBand="1" w:val="04A0"/>
      </w:tblPr>
      <w:tblGrid>
        <w:gridCol w:w="9936"/>
      </w:tblGrid>
      <w:tr>
        <w:tc>
          <w:tcPr>
            <w:tcW w:type="dxa" w:w="9936"/>
            <w:shd w:fill="0F120E"/>
          </w:tcPr>
          <w:p>
            <w:pPr>
              <w:jc w:val="center"/>
            </w:pPr>
            <w:r>
              <w:rPr>
                <w:b/>
                <w:color w:val="D9AE4A"/>
              </w:rPr>
              <w:t>FINAL DIRECTION</w:t>
            </w:r>
          </w:p>
          <w:p>
            <w:pPr>
              <w:jc w:val="center"/>
            </w:pPr>
            <w:r>
              <w:rPr>
                <w:b/>
                <w:color w:val="F5EFE3"/>
                <w:sz w:val="25"/>
              </w:rPr>
              <w:t>Mention GambleFreeGear on the About page and in the footer, while keeping it clearly positioned as a separate brand.</w:t>
            </w:r>
          </w:p>
        </w:tc>
      </w:tr>
    </w:tbl>
    <w:p/>
    <w:p>
      <w:r>
        <w:rPr>
          <w:b/>
          <w:color w:val="D9AE4A"/>
          <w:sz w:val="24"/>
        </w:rPr>
        <w:t>PURPOSE</w:t>
      </w:r>
    </w:p>
    <w:p>
      <w:r>
        <w:t>GambleFreeGear is an important part of Tiffany Webb’s founder story and broader body of work. It should not be invisible on the personal website, but the personal website should remain centered on Tiffany rather than becoming an extension of the GambleFreeGear store.</w:t>
      </w:r>
    </w:p>
    <w:p>
      <w:r>
        <w:rPr>
          <w:b/>
          <w:color w:val="D9AE4A"/>
          <w:sz w:val="24"/>
        </w:rPr>
        <w:t>ABOUT PAGE</w:t>
      </w:r>
    </w:p>
    <w:p>
      <w:r>
        <w:t>Include a short paragraph identifying Tiffany as the founder and briefly explaining why the brand exists. Link the brand name or a simple text CTA to the GambleFreeGear website.</w:t>
      </w:r>
    </w:p>
    <w:p>
      <w:r>
        <w:rPr>
          <w:b/>
        </w:rPr>
        <w:t xml:space="preserve">Recommended copy: </w:t>
      </w:r>
      <w:r>
        <w:t>I’m also the founder of GambleFreeGear, a pioneering gambling-awareness clothing brand created to make prevention, awareness, and conversation more visible through apparel, creativity, and community engagement.</w:t>
      </w:r>
    </w:p>
    <w:p>
      <w:r>
        <w:rPr>
          <w:b/>
          <w:color w:val="D9AE4A"/>
          <w:sz w:val="24"/>
        </w:rPr>
        <w:t>FOOTER</w:t>
      </w:r>
    </w:p>
    <w:p>
      <w:r>
        <w:t>Include a simple, understated GambleFreeGear reference in the footer so the connection remains visible throughout the site without competing with Tiffany’s personal brand.</w:t>
      </w:r>
    </w:p>
    <w:p>
      <w:r>
        <w:rPr>
          <w:b/>
        </w:rPr>
        <w:t xml:space="preserve">Suggested footer treatment: </w:t>
      </w:r>
      <w:r>
        <w:t>Founder of GambleFreeGear →</w:t>
      </w:r>
    </w:p>
    <w:p>
      <w:r>
        <w:rPr>
          <w:b/>
          <w:color w:val="D9AE4A"/>
          <w:sz w:val="24"/>
        </w:rPr>
        <w:t>LINK</w:t>
      </w:r>
    </w:p>
    <w:p>
      <w:r>
        <w:rPr>
          <w:b/>
        </w:rPr>
        <w:t xml:space="preserve">Destination: </w:t>
      </w:r>
      <w:r>
        <w:t>https://gamblefreegear.com</w:t>
      </w:r>
    </w:p>
    <w:p>
      <w:r>
        <w:t>The link should open the GambleFreeGear website/store. Please verify the final live destination during implementation.</w:t>
      </w:r>
    </w:p>
    <w:p>
      <w:r>
        <w:rPr>
          <w:b/>
          <w:color w:val="D9AE4A"/>
          <w:sz w:val="24"/>
        </w:rPr>
        <w:t>BRAND RELATIONSHIP</w:t>
      </w:r>
    </w:p>
    <w:p>
      <w:pPr>
        <w:ind w:left="259" w:hanging="173"/>
      </w:pPr>
      <w:r>
        <w:rPr>
          <w:b/>
        </w:rPr>
        <w:t xml:space="preserve">• </w:t>
      </w:r>
      <w:r>
        <w:t>Tiffany Webb’s website is the primary personal/professional brand.</w:t>
      </w:r>
    </w:p>
    <w:p>
      <w:pPr>
        <w:ind w:left="259" w:hanging="173"/>
      </w:pPr>
      <w:r>
        <w:rPr>
          <w:b/>
        </w:rPr>
        <w:t xml:space="preserve">• </w:t>
      </w:r>
      <w:r>
        <w:t>GambleFreeGear remains its own distinct brand and destination.</w:t>
      </w:r>
    </w:p>
    <w:p>
      <w:pPr>
        <w:ind w:left="259" w:hanging="173"/>
      </w:pPr>
      <w:r>
        <w:rPr>
          <w:b/>
        </w:rPr>
        <w:t xml:space="preserve">• </w:t>
      </w:r>
      <w:r>
        <w:t>The personal site should establish Tiffany’s role as founder without duplicating the store experience.</w:t>
      </w:r>
    </w:p>
    <w:p>
      <w:pPr>
        <w:ind w:left="259" w:hanging="173"/>
      </w:pPr>
      <w:r>
        <w:rPr>
          <w:b/>
        </w:rPr>
        <w:t xml:space="preserve">• </w:t>
      </w:r>
      <w:r>
        <w:t>Use the About-page mention to provide context; use the footer for a light, persistent connection.</w:t>
      </w:r>
    </w:p>
    <w:p>
      <w:pPr>
        <w:ind w:left="259" w:hanging="173"/>
      </w:pPr>
      <w:r>
        <w:rPr>
          <w:b/>
        </w:rPr>
        <w:t xml:space="preserve">• </w:t>
      </w:r>
      <w:r>
        <w:t>Do not place GambleFreeGear branding prominently in the hero unless the website strategy changes later.</w:t>
      </w:r>
    </w:p>
    <w:p>
      <w:r>
        <w:rPr>
          <w:b/>
          <w:color w:val="D9AE4A"/>
          <w:sz w:val="24"/>
        </w:rPr>
        <w:t>WORDING NOTE</w:t>
      </w:r>
    </w:p>
    <w:p>
      <w:r>
        <w:t>Use “pioneering gambling-awareness clothing brand” rather than “the first gambling-awareness clothing brand” unless a first-to-market claim has been independently verified.</w:t>
      </w:r>
    </w:p>
    <w:p>
      <w:r>
        <w:rPr>
          <w:b/>
          <w:color w:val="D9AE4A"/>
          <w:sz w:val="24"/>
        </w:rPr>
        <w:t>COPY FOR WEBSITE DEVELOPER</w:t>
      </w:r>
    </w:p>
    <w:p>
      <w:r>
        <w:t>CONFIRMED: Please include GambleFreeGear in both places as proposed—a short paragraph on the About page and a simple reference/link in the footer. GambleFreeGear should remain a separate brand, but I want my role as its founder and its connection to my broader work to be visible on my personal website. Please link to GambleFreeGear.com.</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