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AE4A"/>
          <w:sz w:val="24"/>
        </w:rPr>
        <w:t>TIFFANY WEBB</w:t>
      </w:r>
    </w:p>
    <w:p>
      <w:pPr>
        <w:jc w:val="center"/>
      </w:pPr>
      <w:r>
        <w:rPr>
          <w:b/>
          <w:color w:val="0F120E"/>
          <w:sz w:val="40"/>
        </w:rPr>
        <w:t>WEBSITE CREDIBILITY BAR — FINAL CONTENT BRIEF</w:t>
      </w:r>
    </w:p>
    <w:p>
      <w:pPr>
        <w:jc w:val="center"/>
      </w:pPr>
      <w:r>
        <w:rPr>
          <w:i/>
          <w:color w:val="5A5A5A"/>
          <w:sz w:val="20"/>
        </w:rPr>
        <w:t>Developer / Designer Implementation Reference</w:t>
      </w:r>
    </w:p>
    <w:p>
      <w:r>
        <w:rPr>
          <w:b/>
          <w:color w:val="D9AE4A"/>
          <w:sz w:val="26"/>
        </w:rPr>
        <w:t>1. PURPOSE</w:t>
      </w:r>
    </w:p>
    <w:p>
      <w:r>
        <w:t>The credibility bar should give website visitors immediate, easy-to-scan evidence of Tiffany Webb’s professional experience, delivered work, and community relationships. It should feel premium, confident, minimal, and credible—not like a résumé or a crowded list of services.</w:t>
      </w:r>
    </w:p>
    <w:p>
      <w:r>
        <w:rPr>
          <w:b/>
          <w:color w:val="D9AE4A"/>
          <w:sz w:val="26"/>
        </w:rPr>
        <w:t>2. FINAL APPROVED CREDIBILITY BAR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b/>
                <w:color w:val="D9AE4A"/>
                <w:sz w:val="60"/>
              </w:rPr>
              <w:t>15+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>
              <w:rPr>
                <w:b/>
                <w:color w:val="D9AE4A"/>
                <w:sz w:val="60"/>
              </w:rPr>
              <w:t>50+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>
              <w:rPr>
                <w:b/>
                <w:color w:val="D9AE4A"/>
                <w:sz w:val="60"/>
              </w:rPr>
              <w:t>100+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b/>
                <w:color w:val="0F120E"/>
                <w:sz w:val="18"/>
              </w:rPr>
              <w:t>YEARS OF EXPERIENCE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>
              <w:rPr>
                <w:b/>
                <w:color w:val="0F120E"/>
                <w:sz w:val="18"/>
              </w:rPr>
              <w:t>WORKSHOPS • PRESENTATIONS • ACTIVATIONS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>
              <w:rPr>
                <w:b/>
                <w:color w:val="0F120E"/>
                <w:sz w:val="18"/>
              </w:rPr>
              <w:t>COMMUNITY PARTNERS &amp; COLLABORATIONS</w:t>
            </w:r>
          </w:p>
        </w:tc>
      </w:tr>
    </w:tbl>
    <w:p>
      <w:r>
        <w:rPr>
          <w:b/>
          <w:color w:val="D9AE4A"/>
          <w:sz w:val="26"/>
        </w:rPr>
        <w:t>3. EXACT WEBSITE COPY</w:t>
      </w:r>
    </w:p>
    <w:p>
      <w:pPr>
        <w:spacing w:after="60"/>
      </w:pPr>
      <w:r>
        <w:rPr>
          <w:b/>
          <w:sz w:val="22"/>
        </w:rPr>
        <w:t>15+  |  YEARS OF EXPERIENCE</w:t>
      </w:r>
    </w:p>
    <w:p>
      <w:pPr>
        <w:spacing w:after="60"/>
      </w:pPr>
      <w:r>
        <w:rPr>
          <w:b/>
          <w:sz w:val="22"/>
        </w:rPr>
        <w:t>50+  |  WORKSHOPS • PRESENTATIONS • ACTIVATIONS</w:t>
      </w:r>
    </w:p>
    <w:p>
      <w:pPr>
        <w:spacing w:after="60"/>
      </w:pPr>
      <w:r>
        <w:rPr>
          <w:b/>
          <w:sz w:val="22"/>
        </w:rPr>
        <w:t>100+ |  COMMUNITY PARTNERS &amp; COLLABORATIONS</w:t>
      </w:r>
    </w:p>
    <w:p>
      <w:r>
        <w:rPr>
          <w:b/>
          <w:color w:val="D9AE4A"/>
          <w:sz w:val="26"/>
        </w:rPr>
        <w:t>4. WHAT EACH METRIC REPRESENTS</w:t>
      </w:r>
    </w:p>
    <w:p>
      <w:pPr>
        <w:spacing w:after="100"/>
      </w:pPr>
      <w:r>
        <w:rPr>
          <w:b/>
        </w:rPr>
        <w:t xml:space="preserve">15+ Years of Experience — </w:t>
      </w:r>
      <w:r>
        <w:t>Professional experience across behavioral health, public health, community work, prevention, leadership, strategy, program development, and related service environments.</w:t>
      </w:r>
    </w:p>
    <w:p>
      <w:pPr>
        <w:spacing w:after="100"/>
      </w:pPr>
      <w:r>
        <w:rPr>
          <w:b/>
        </w:rPr>
        <w:t xml:space="preserve">50+ Workshops • Presentations • Activations — </w:t>
      </w:r>
      <w:r>
        <w:t>Combined delivered work such as workshops, trainings, presentations, speaking engagements, community activations, outreach events, educational sessions, and facilitated experiences.</w:t>
      </w:r>
    </w:p>
    <w:p>
      <w:pPr>
        <w:spacing w:after="100"/>
      </w:pPr>
      <w:r>
        <w:rPr>
          <w:b/>
        </w:rPr>
        <w:t xml:space="preserve">100+ Community Partners &amp; Collaborations — </w:t>
      </w:r>
      <w:r>
        <w:t>Organizations and groups Tiffany has worked with, engaged, partnered with, supported, presented alongside, activated with, or collaborated with. This may include nonprofits, schools, coalitions, community organizations, public-health partners, behavioral-health organizations, sponsors, event partners, and other legitimate collaborators.</w:t>
      </w:r>
    </w:p>
    <w:p>
      <w:r>
        <w:rPr>
          <w:b/>
          <w:color w:val="D9AE4A"/>
          <w:sz w:val="26"/>
        </w:rPr>
        <w:t>5. VISUAL / DEVELOPMENT DIRECTION</w:t>
      </w:r>
    </w:p>
    <w:p>
      <w:pPr>
        <w:pStyle w:val="ListBullet"/>
        <w:spacing w:after="40"/>
      </w:pPr>
      <w:r>
        <w:t>Keep the bar to THREE equal sections only.</w:t>
      </w:r>
    </w:p>
    <w:p>
      <w:pPr>
        <w:pStyle w:val="ListBullet"/>
        <w:spacing w:after="40"/>
      </w:pPr>
      <w:r>
        <w:t>Use a near-black/charcoal background (#0F120E).</w:t>
      </w:r>
    </w:p>
    <w:p>
      <w:pPr>
        <w:pStyle w:val="ListBullet"/>
        <w:spacing w:after="40"/>
      </w:pPr>
      <w:r>
        <w:t>Use Signature Gold (#D9AE4A) for the large numbers and restrained line details.</w:t>
      </w:r>
    </w:p>
    <w:p>
      <w:pPr>
        <w:pStyle w:val="ListBullet"/>
        <w:spacing w:after="40"/>
      </w:pPr>
      <w:r>
        <w:t>Use Warm Cream (#F5EFE3) or high-contrast light text for labels.</w:t>
      </w:r>
    </w:p>
    <w:p>
      <w:pPr>
        <w:pStyle w:val="ListBullet"/>
        <w:spacing w:after="40"/>
      </w:pPr>
      <w:r>
        <w:t>Large numbers should be the primary visual focus; labels should be smaller, clean, and easy to read.</w:t>
      </w:r>
    </w:p>
    <w:p>
      <w:pPr>
        <w:pStyle w:val="ListBullet"/>
        <w:spacing w:after="40"/>
      </w:pPr>
      <w:r>
        <w:t>Use thin gold vertical dividers between the three metrics.</w:t>
      </w:r>
    </w:p>
    <w:p>
      <w:pPr>
        <w:pStyle w:val="ListBullet"/>
        <w:spacing w:after="40"/>
      </w:pPr>
      <w:r>
        <w:t>A subtle flowing gold line may appear in the background, but it must not compete with the numbers.</w:t>
      </w:r>
    </w:p>
    <w:p>
      <w:pPr>
        <w:pStyle w:val="ListBullet"/>
        <w:spacing w:after="40"/>
      </w:pPr>
      <w:r>
        <w:t>No icons are required. No extra descriptions should appear inside the live credibility bar.</w:t>
      </w:r>
    </w:p>
    <w:p>
      <w:pPr>
        <w:pStyle w:val="ListBullet"/>
        <w:spacing w:after="40"/>
      </w:pPr>
      <w:r>
        <w:t>Desktop: display all three metrics horizontally. Mobile: stack the three metrics vertically with generous spacing.</w:t>
      </w:r>
    </w:p>
    <w:p>
      <w:pPr>
        <w:pStyle w:val="ListBullet"/>
        <w:spacing w:after="40"/>
      </w:pPr>
      <w:r>
        <w:t>The section should feel Executive Luxury: refined, minimal, confident, and uncluttered.</w:t>
      </w:r>
    </w:p>
    <w:p>
      <w:r>
        <w:rPr>
          <w:b/>
          <w:color w:val="D9AE4A"/>
          <w:sz w:val="26"/>
        </w:rPr>
        <w:t>6. DO NOT USE</w:t>
      </w:r>
    </w:p>
    <w:p>
      <w:r>
        <w:t>Do not use the previous “4,000+ Hours of Outreach” or “21 Speaking Topics” metrics in this bar. Do not add a long list of roles, services, icons, paragraphs, or additional statistics. The goal is fast credibility—not a complete résumé.</w:t>
      </w:r>
    </w:p>
    <w:p>
      <w:r>
        <w:rPr>
          <w:b/>
          <w:color w:val="D9AE4A"/>
          <w:sz w:val="26"/>
        </w:rPr>
        <w:t>7. WEBSITE IMPLEMENTATION NOTE</w:t>
      </w:r>
    </w:p>
    <w:p>
      <w:r>
        <w:t>Build the credibility bar as live HTML/CSS text rather than embedding the entire bar as a flat image whenever possible. This keeps the numbers readable on mobile, accessible to screen readers, searchable, and easy to update as Tiffany’s impact grows.</w:t>
      </w:r>
    </w:p>
    <w:p>
      <w:pPr>
        <w:spacing w:before="200"/>
        <w:jc w:val="center"/>
      </w:pPr>
      <w:r>
        <w:rPr>
          <w:b/>
          <w:color w:val="D9AE4A"/>
          <w:sz w:val="18"/>
        </w:rPr>
        <w:t>Tiffany Webb • Bold &amp; Brilliant • Turn Ideas Into Impact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