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666666"/>
          <w:sz w:val="26"/>
        </w:rPr>
        <w:t>TIFFANY WEBB</w:t>
      </w:r>
    </w:p>
    <w:p>
      <w:pPr>
        <w:pStyle w:val="Title"/>
        <w:jc w:val="center"/>
      </w:pPr>
      <w:r>
        <w:t>Updated Partnership Guide</w:t>
      </w:r>
    </w:p>
    <w:p>
      <w:pPr>
        <w:jc w:val="center"/>
      </w:pPr>
      <w:r>
        <w:rPr>
          <w:sz w:val="28"/>
        </w:rPr>
        <w:t>Website Content Questionnaire - Section 07</w:t>
      </w:r>
    </w:p>
    <w:p>
      <w:pPr>
        <w:jc w:val="center"/>
      </w:pPr>
      <w:r>
        <w:rPr>
          <w:color w:val="5B2A86"/>
          <w:sz w:val="22"/>
        </w:rPr>
        <w:t>SPEAK · PARTNER · STRATEGIZE · STRENGTHEN</w:t>
      </w:r>
    </w:p>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Purpose: Establish Tiffany as more than a speaker by showing the different ways organizations can engage her - from a single presentation to collaboration, strategy, and capacity-building support.</w:t>
            </w:r>
          </w:p>
        </w:tc>
      </w:tr>
    </w:tbl>
    <w:p>
      <w:r>
        <w:br w:type="page"/>
      </w:r>
    </w:p>
    <w:p>
      <w:pPr>
        <w:pStyle w:val="Heading1"/>
      </w:pPr>
      <w:r>
        <w:t>1. Section Purpose</w:t>
      </w:r>
    </w:p>
    <w:p>
      <w:r>
        <w:t>This section brings the existing SPEAK, PARTNER, STRATEGIZE, STRENGTHEN framework into the main website experience. It should show that speaking is one way to work with Tiffany, but not the full extent of the platform.</w:t>
      </w:r>
    </w:p>
    <w:p>
      <w:pPr>
        <w:pStyle w:val="Heading1"/>
      </w:pPr>
      <w:r>
        <w:t>2. Section 7.1 - Four Partnership Pillars</w:t>
      </w:r>
    </w:p>
    <w:p>
      <w:pPr>
        <w:pStyle w:val="Heading2"/>
      </w:pPr>
      <w:r>
        <w:t>Recommendation: KEEP ALL FOUR, with updated supporting services.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7"/>
              </w:rPr>
              <w:t>PILLAR</w:t>
            </w:r>
          </w:p>
        </w:tc>
        <w:tc>
          <w:tcPr>
            <w:tcW w:type="dxa" w:w="3408"/>
            <w:vAlign w:val="center"/>
            <w:shd w:fill="5B2A86"/>
          </w:tcPr>
          <w:p>
            <w:pPr>
              <w:spacing w:after="0"/>
            </w:pPr>
            <w:r/>
            <w:r>
              <w:rPr>
                <w:rFonts w:ascii="Aptos" w:hAnsi="Aptos"/>
                <w:b/>
                <w:color w:val="FFFFFF"/>
                <w:sz w:val="17"/>
              </w:rPr>
              <w:t>POSITIONING</w:t>
            </w:r>
          </w:p>
        </w:tc>
        <w:tc>
          <w:tcPr>
            <w:tcW w:type="dxa" w:w="3408"/>
            <w:vAlign w:val="center"/>
            <w:shd w:fill="5B2A86"/>
          </w:tcPr>
          <w:p>
            <w:pPr>
              <w:spacing w:after="0"/>
            </w:pPr>
            <w:r/>
            <w:r>
              <w:rPr>
                <w:rFonts w:ascii="Aptos" w:hAnsi="Aptos"/>
                <w:b/>
                <w:color w:val="FFFFFF"/>
                <w:sz w:val="17"/>
              </w:rPr>
              <w:t>SERVICES / ACTIVITIES</w:t>
            </w:r>
          </w:p>
        </w:tc>
      </w:tr>
      <w:tr>
        <w:trPr>
          <w:cantSplit/>
        </w:trPr>
        <w:tc>
          <w:tcPr>
            <w:tcW w:type="dxa" w:w="3408"/>
            <w:vAlign w:val="center"/>
          </w:tcPr>
          <w:p>
            <w:pPr>
              <w:spacing w:after="0"/>
            </w:pPr>
            <w:r/>
            <w:r>
              <w:rPr>
                <w:rFonts w:ascii="Aptos" w:hAnsi="Aptos"/>
                <w:b/>
                <w:color w:val="5B2A86"/>
                <w:sz w:val="18"/>
              </w:rPr>
              <w:t>SPEAK</w:t>
            </w:r>
          </w:p>
        </w:tc>
        <w:tc>
          <w:tcPr>
            <w:tcW w:type="dxa" w:w="3408"/>
            <w:vAlign w:val="center"/>
          </w:tcPr>
          <w:p>
            <w:pPr>
              <w:spacing w:after="0"/>
            </w:pPr>
            <w:r/>
            <w:r>
              <w:rPr>
                <w:rFonts w:ascii="Aptos" w:hAnsi="Aptos"/>
                <w:b/>
                <w:color w:val="222222"/>
                <w:sz w:val="17"/>
              </w:rPr>
              <w:t>Engage &amp; Educate</w:t>
            </w:r>
          </w:p>
        </w:tc>
        <w:tc>
          <w:tcPr>
            <w:tcW w:type="dxa" w:w="3408"/>
            <w:vAlign w:val="center"/>
          </w:tcPr>
          <w:p>
            <w:pPr>
              <w:spacing w:after="0"/>
            </w:pPr>
            <w:r/>
            <w:r>
              <w:rPr>
                <w:rFonts w:ascii="Aptos" w:hAnsi="Aptos"/>
                <w:b w:val="0"/>
                <w:color w:val="222222"/>
                <w:sz w:val="16"/>
              </w:rPr>
              <w:t>Keynotes · Conference &amp; Breakout Sessions · Workshops · Panels · Moderation · Webinars · Community Presentations · Podcast &amp; Media Conversations</w:t>
            </w:r>
          </w:p>
        </w:tc>
      </w:tr>
      <w:tr>
        <w:trPr>
          <w:cantSplit/>
        </w:trPr>
        <w:tc>
          <w:tcPr>
            <w:tcW w:type="dxa" w:w="3408"/>
            <w:vAlign w:val="center"/>
          </w:tcPr>
          <w:p>
            <w:pPr>
              <w:spacing w:after="0"/>
            </w:pPr>
            <w:r/>
            <w:r>
              <w:rPr>
                <w:rFonts w:ascii="Aptos" w:hAnsi="Aptos"/>
                <w:b/>
                <w:color w:val="5B2A86"/>
                <w:sz w:val="18"/>
              </w:rPr>
              <w:t>PARTNER</w:t>
            </w:r>
          </w:p>
        </w:tc>
        <w:tc>
          <w:tcPr>
            <w:tcW w:type="dxa" w:w="3408"/>
            <w:vAlign w:val="center"/>
          </w:tcPr>
          <w:p>
            <w:pPr>
              <w:spacing w:after="0"/>
            </w:pPr>
            <w:r/>
            <w:r>
              <w:rPr>
                <w:rFonts w:ascii="Aptos" w:hAnsi="Aptos"/>
                <w:b/>
                <w:color w:val="222222"/>
                <w:sz w:val="17"/>
              </w:rPr>
              <w:t>Connect &amp; Activate</w:t>
            </w:r>
          </w:p>
        </w:tc>
        <w:tc>
          <w:tcPr>
            <w:tcW w:type="dxa" w:w="3408"/>
            <w:vAlign w:val="center"/>
          </w:tcPr>
          <w:p>
            <w:pPr>
              <w:spacing w:after="0"/>
            </w:pPr>
            <w:r/>
            <w:r>
              <w:rPr>
                <w:rFonts w:ascii="Aptos" w:hAnsi="Aptos"/>
                <w:b w:val="0"/>
                <w:color w:val="222222"/>
                <w:sz w:val="16"/>
              </w:rPr>
              <w:t>Resource Tables · Conferences · Health &amp; Resource Fairs · Community Events · Prevention Activations · Coalition &amp; ROSC Engagement · Stakeholder Engagement · Youth &amp; Family Events · Collaborative Campaigns</w:t>
            </w:r>
          </w:p>
        </w:tc>
      </w:tr>
      <w:tr>
        <w:trPr>
          <w:cantSplit/>
        </w:trPr>
        <w:tc>
          <w:tcPr>
            <w:tcW w:type="dxa" w:w="3408"/>
            <w:vAlign w:val="center"/>
          </w:tcPr>
          <w:p>
            <w:pPr>
              <w:spacing w:after="0"/>
            </w:pPr>
            <w:r/>
            <w:r>
              <w:rPr>
                <w:rFonts w:ascii="Aptos" w:hAnsi="Aptos"/>
                <w:b/>
                <w:color w:val="5B2A86"/>
                <w:sz w:val="18"/>
              </w:rPr>
              <w:t>STRATEGIZE</w:t>
            </w:r>
          </w:p>
        </w:tc>
        <w:tc>
          <w:tcPr>
            <w:tcW w:type="dxa" w:w="3408"/>
            <w:vAlign w:val="center"/>
          </w:tcPr>
          <w:p>
            <w:pPr>
              <w:spacing w:after="0"/>
            </w:pPr>
            <w:r/>
            <w:r>
              <w:rPr>
                <w:rFonts w:ascii="Aptos" w:hAnsi="Aptos"/>
                <w:b/>
                <w:color w:val="222222"/>
                <w:sz w:val="17"/>
              </w:rPr>
              <w:t>Plan &amp; Build</w:t>
            </w:r>
          </w:p>
        </w:tc>
        <w:tc>
          <w:tcPr>
            <w:tcW w:type="dxa" w:w="3408"/>
            <w:vAlign w:val="center"/>
          </w:tcPr>
          <w:p>
            <w:pPr>
              <w:spacing w:after="0"/>
            </w:pPr>
            <w:r/>
            <w:r>
              <w:rPr>
                <w:rFonts w:ascii="Aptos" w:hAnsi="Aptos"/>
                <w:b w:val="0"/>
                <w:color w:val="222222"/>
                <w:sz w:val="16"/>
              </w:rPr>
              <w:t>Strategic Planning · Prevention Planning · Community Engagement Strategy · Outreach Strategy · Partnership Development · Coalition Support · Program Design · Audience Development · Campaign &amp; Activation Planning</w:t>
            </w:r>
          </w:p>
        </w:tc>
      </w:tr>
      <w:tr>
        <w:trPr>
          <w:cantSplit/>
        </w:trPr>
        <w:tc>
          <w:tcPr>
            <w:tcW w:type="dxa" w:w="3408"/>
            <w:vAlign w:val="center"/>
          </w:tcPr>
          <w:p>
            <w:pPr>
              <w:spacing w:after="0"/>
            </w:pPr>
            <w:r/>
            <w:r>
              <w:rPr>
                <w:rFonts w:ascii="Aptos" w:hAnsi="Aptos"/>
                <w:b/>
                <w:color w:val="5B2A86"/>
                <w:sz w:val="18"/>
              </w:rPr>
              <w:t>STRENGTHEN</w:t>
            </w:r>
          </w:p>
        </w:tc>
        <w:tc>
          <w:tcPr>
            <w:tcW w:type="dxa" w:w="3408"/>
            <w:vAlign w:val="center"/>
          </w:tcPr>
          <w:p>
            <w:pPr>
              <w:spacing w:after="0"/>
            </w:pPr>
            <w:r/>
            <w:r>
              <w:rPr>
                <w:rFonts w:ascii="Aptos" w:hAnsi="Aptos"/>
                <w:b/>
                <w:color w:val="222222"/>
                <w:sz w:val="17"/>
              </w:rPr>
              <w:t>Build Capacity &amp; Sustainability</w:t>
            </w:r>
          </w:p>
        </w:tc>
        <w:tc>
          <w:tcPr>
            <w:tcW w:type="dxa" w:w="3408"/>
            <w:vAlign w:val="center"/>
          </w:tcPr>
          <w:p>
            <w:pPr>
              <w:spacing w:after="0"/>
            </w:pPr>
            <w:r/>
            <w:r>
              <w:rPr>
                <w:rFonts w:ascii="Aptos" w:hAnsi="Aptos"/>
                <w:b w:val="0"/>
                <w:color w:val="222222"/>
                <w:sz w:val="16"/>
              </w:rPr>
              <w:t>Staff Development · Professional Training · Technical Assistance · Capacity Building · Community Outreach Planning · Program Evaluation Support · Sustainability Planning · Implementation Support</w:t>
            </w:r>
          </w:p>
        </w:tc>
      </w:tr>
    </w:tbl>
    <w:p>
      <w:pPr>
        <w:pStyle w:val="Heading2"/>
      </w:pPr>
      <w:r>
        <w:t>How the Framework Progresses</w:t>
      </w:r>
    </w:p>
    <w:p>
      <w:pPr>
        <w:pStyle w:val="ListBullet"/>
      </w:pPr>
      <w:r>
        <w:t>SPEAK - Bring Tiffany into the conversation.</w:t>
      </w:r>
    </w:p>
    <w:p>
      <w:pPr>
        <w:pStyle w:val="ListBullet"/>
      </w:pPr>
      <w:r>
        <w:t>PARTNER - Work alongside Tiffany.</w:t>
      </w:r>
    </w:p>
    <w:p>
      <w:pPr>
        <w:pStyle w:val="ListBullet"/>
      </w:pPr>
      <w:r>
        <w:t>STRATEGIZE - Build the approach together.</w:t>
      </w:r>
    </w:p>
    <w:p>
      <w:pPr>
        <w:pStyle w:val="ListBullet"/>
      </w:pPr>
      <w:r>
        <w:t>STRENGTHEN - Improve the organization's ability to continue and sustain the work.</w:t>
      </w:r>
    </w:p>
    <w:p>
      <w:pPr>
        <w:pStyle w:val="Heading1"/>
      </w:pPr>
      <w:r>
        <w:t>3. Section 7.2 - Introduction Copy</w:t>
      </w:r>
    </w:p>
    <w:p>
      <w:pPr>
        <w:pStyle w:val="Heading2"/>
      </w:pPr>
      <w:r>
        <w:t>Recommended headline: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6"/>
              </w:rPr>
              <w:t>More Than a Speaker. A Collaborative Partner.</w:t>
            </w:r>
          </w:p>
        </w:tc>
      </w:tr>
    </w:tbl>
    <w:p>
      <w:pPr>
        <w:pStyle w:val="Heading2"/>
      </w:pPr>
      <w:r>
        <w:t>Recommended supporting line: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222222"/>
                <w:sz w:val="20"/>
              </w:rPr>
              <w:t>From one conversation to long-term strategy, Tiffany works alongside organizations to create stronger prevention, engagement, and community impact.</w:t>
            </w:r>
          </w:p>
        </w:tc>
      </w:tr>
    </w:tbl>
    <w:p>
      <w:r>
        <w:t>“Together, We Create Lasting Impact” can remain as secondary or closing language, but the stronger homepage headline is “More Than a Speaker. A Collaborative Partner.”</w:t>
      </w:r>
    </w:p>
    <w:p>
      <w:pPr>
        <w:pStyle w:val="Heading1"/>
      </w:pPr>
      <w:r>
        <w:t>4. Section 7.3 - Organizations &amp; Communities Worked Alongside</w:t>
      </w:r>
    </w:p>
    <w:p>
      <w:r>
        <w:t>Use relationship-specific language rather than labeling every organization a formal partner. The recommended public-facing heading is:</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4"/>
              </w:rPr>
              <w:t>Organizations &amp; Communities I've Worked Alongside</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5B2A86"/>
          </w:tcPr>
          <w:p>
            <w:pPr>
              <w:spacing w:after="0"/>
            </w:pPr>
            <w:r/>
            <w:r>
              <w:rPr>
                <w:rFonts w:ascii="Aptos" w:hAnsi="Aptos"/>
                <w:b/>
                <w:color w:val="FFFFFF"/>
                <w:sz w:val="16"/>
              </w:rPr>
              <w:t>ORGANIZATION</w:t>
            </w:r>
          </w:p>
        </w:tc>
        <w:tc>
          <w:tcPr>
            <w:tcW w:type="dxa" w:w="2556"/>
            <w:vAlign w:val="center"/>
            <w:shd w:fill="5B2A86"/>
          </w:tcPr>
          <w:p>
            <w:pPr>
              <w:spacing w:after="0"/>
            </w:pPr>
            <w:r/>
            <w:r>
              <w:rPr>
                <w:rFonts w:ascii="Aptos" w:hAnsi="Aptos"/>
                <w:b/>
                <w:color w:val="FFFFFF"/>
                <w:sz w:val="16"/>
              </w:rPr>
              <w:t>RELATIONSHIP</w:t>
            </w:r>
          </w:p>
        </w:tc>
        <w:tc>
          <w:tcPr>
            <w:tcW w:type="dxa" w:w="2556"/>
            <w:vAlign w:val="center"/>
            <w:shd w:fill="5B2A86"/>
          </w:tcPr>
          <w:p>
            <w:pPr>
              <w:spacing w:after="0"/>
            </w:pPr>
            <w:r/>
            <w:r>
              <w:rPr>
                <w:rFonts w:ascii="Aptos" w:hAnsi="Aptos"/>
                <w:b/>
                <w:color w:val="FFFFFF"/>
                <w:sz w:val="16"/>
              </w:rPr>
              <w:t>STATUS</w:t>
            </w:r>
          </w:p>
        </w:tc>
        <w:tc>
          <w:tcPr>
            <w:tcW w:type="dxa" w:w="2556"/>
            <w:vAlign w:val="center"/>
            <w:shd w:fill="5B2A86"/>
          </w:tcPr>
          <w:p>
            <w:pPr>
              <w:spacing w:after="0"/>
            </w:pPr>
            <w:r/>
            <w:r>
              <w:rPr>
                <w:rFonts w:ascii="Aptos" w:hAnsi="Aptos"/>
                <w:b/>
                <w:color w:val="FFFFFF"/>
                <w:sz w:val="16"/>
              </w:rPr>
              <w:t>PUBLIC USE</w:t>
            </w:r>
          </w:p>
        </w:tc>
      </w:tr>
      <w:tr>
        <w:trPr>
          <w:cantSplit/>
        </w:trPr>
        <w:tc>
          <w:tcPr>
            <w:tcW w:type="dxa" w:w="2556"/>
            <w:vAlign w:val="center"/>
          </w:tcPr>
          <w:p>
            <w:pPr>
              <w:spacing w:after="0"/>
            </w:pPr>
            <w:r/>
            <w:r>
              <w:rPr>
                <w:rFonts w:ascii="Aptos" w:hAnsi="Aptos"/>
                <w:b/>
                <w:color w:val="222222"/>
                <w:sz w:val="16"/>
              </w:rPr>
              <w:t>Illinois Council on Problem Gambling</w:t>
            </w:r>
          </w:p>
        </w:tc>
        <w:tc>
          <w:tcPr>
            <w:tcW w:type="dxa" w:w="2556"/>
            <w:vAlign w:val="center"/>
          </w:tcPr>
          <w:p>
            <w:pPr>
              <w:spacing w:after="0"/>
            </w:pPr>
            <w:r/>
            <w:r>
              <w:rPr>
                <w:rFonts w:ascii="Aptos" w:hAnsi="Aptos"/>
                <w:b w:val="0"/>
                <w:color w:val="222222"/>
                <w:sz w:val="16"/>
              </w:rPr>
              <w:t>Conference / professional involvement</w:t>
            </w:r>
          </w:p>
        </w:tc>
        <w:tc>
          <w:tcPr>
            <w:tcW w:type="dxa" w:w="2556"/>
            <w:vAlign w:val="center"/>
          </w:tcPr>
          <w:p>
            <w:pPr>
              <w:spacing w:after="0"/>
            </w:pPr>
            <w:r/>
            <w:r>
              <w:rPr>
                <w:rFonts w:ascii="Aptos" w:hAnsi="Aptos"/>
                <w:b w:val="0"/>
                <w:color w:val="222222"/>
                <w:sz w:val="16"/>
              </w:rPr>
              <w:t>Past &amp; Current</w:t>
            </w:r>
          </w:p>
        </w:tc>
        <w:tc>
          <w:tcPr>
            <w:tcW w:type="dxa" w:w="2556"/>
            <w:vAlign w:val="center"/>
          </w:tcPr>
          <w:p>
            <w:pPr>
              <w:spacing w:after="0"/>
            </w:pPr>
            <w:r/>
            <w:r>
              <w:rPr>
                <w:rFonts w:ascii="Aptos" w:hAnsi="Aptos"/>
                <w:b w:val="0"/>
                <w:color w:val="222222"/>
                <w:sz w:val="16"/>
              </w:rPr>
              <w:t>Confirm public naming</w:t>
            </w:r>
          </w:p>
        </w:tc>
      </w:tr>
      <w:tr>
        <w:trPr>
          <w:cantSplit/>
        </w:trPr>
        <w:tc>
          <w:tcPr>
            <w:tcW w:type="dxa" w:w="2556"/>
            <w:vAlign w:val="center"/>
          </w:tcPr>
          <w:p>
            <w:pPr>
              <w:spacing w:after="0"/>
            </w:pPr>
            <w:r/>
            <w:r>
              <w:rPr>
                <w:rFonts w:ascii="Aptos" w:hAnsi="Aptos"/>
                <w:b/>
                <w:color w:val="222222"/>
                <w:sz w:val="16"/>
              </w:rPr>
              <w:t>NICASA Behavioral Health Services</w:t>
            </w:r>
          </w:p>
        </w:tc>
        <w:tc>
          <w:tcPr>
            <w:tcW w:type="dxa" w:w="2556"/>
            <w:vAlign w:val="center"/>
          </w:tcPr>
          <w:p>
            <w:pPr>
              <w:spacing w:after="0"/>
            </w:pPr>
            <w:r/>
            <w:r>
              <w:rPr>
                <w:rFonts w:ascii="Aptos" w:hAnsi="Aptos"/>
                <w:b w:val="0"/>
                <w:color w:val="222222"/>
                <w:sz w:val="16"/>
              </w:rPr>
              <w:t>Community prevention collaborator</w:t>
            </w:r>
          </w:p>
        </w:tc>
        <w:tc>
          <w:tcPr>
            <w:tcW w:type="dxa" w:w="2556"/>
            <w:vAlign w:val="center"/>
          </w:tcPr>
          <w:p>
            <w:pPr>
              <w:spacing w:after="0"/>
            </w:pPr>
            <w:r/>
            <w:r>
              <w:rPr>
                <w:rFonts w:ascii="Aptos" w:hAnsi="Aptos"/>
                <w:b w:val="0"/>
                <w:color w:val="222222"/>
                <w:sz w:val="16"/>
              </w:rPr>
              <w:t>Past / Current</w:t>
            </w:r>
          </w:p>
        </w:tc>
        <w:tc>
          <w:tcPr>
            <w:tcW w:type="dxa" w:w="2556"/>
            <w:vAlign w:val="center"/>
          </w:tcPr>
          <w:p>
            <w:pPr>
              <w:spacing w:after="0"/>
            </w:pPr>
            <w:r/>
            <w:r>
              <w:rPr>
                <w:rFonts w:ascii="Aptos" w:hAnsi="Aptos"/>
                <w:b w:val="0"/>
                <w:color w:val="222222"/>
                <w:sz w:val="16"/>
              </w:rPr>
              <w:t>Confirm public naming</w:t>
            </w:r>
          </w:p>
        </w:tc>
      </w:tr>
      <w:tr>
        <w:trPr>
          <w:cantSplit/>
        </w:trPr>
        <w:tc>
          <w:tcPr>
            <w:tcW w:type="dxa" w:w="2556"/>
            <w:vAlign w:val="center"/>
          </w:tcPr>
          <w:p>
            <w:pPr>
              <w:spacing w:after="0"/>
            </w:pPr>
            <w:r/>
            <w:r>
              <w:rPr>
                <w:rFonts w:ascii="Aptos" w:hAnsi="Aptos"/>
                <w:b/>
                <w:color w:val="222222"/>
                <w:sz w:val="16"/>
              </w:rPr>
              <w:t>Family Guidance Centers</w:t>
            </w:r>
          </w:p>
        </w:tc>
        <w:tc>
          <w:tcPr>
            <w:tcW w:type="dxa" w:w="2556"/>
            <w:vAlign w:val="center"/>
          </w:tcPr>
          <w:p>
            <w:pPr>
              <w:spacing w:after="0"/>
            </w:pPr>
            <w:r/>
            <w:r>
              <w:rPr>
                <w:rFonts w:ascii="Aptos" w:hAnsi="Aptos"/>
                <w:b w:val="0"/>
                <w:color w:val="222222"/>
                <w:sz w:val="16"/>
              </w:rPr>
              <w:t>Prevention / community collaborator</w:t>
            </w:r>
          </w:p>
        </w:tc>
        <w:tc>
          <w:tcPr>
            <w:tcW w:type="dxa" w:w="2556"/>
            <w:vAlign w:val="center"/>
          </w:tcPr>
          <w:p>
            <w:pPr>
              <w:spacing w:after="0"/>
            </w:pPr>
            <w:r/>
            <w:r>
              <w:rPr>
                <w:rFonts w:ascii="Aptos" w:hAnsi="Aptos"/>
                <w:b w:val="0"/>
                <w:color w:val="222222"/>
                <w:sz w:val="16"/>
              </w:rPr>
              <w:t>Past / Current</w:t>
            </w:r>
          </w:p>
        </w:tc>
        <w:tc>
          <w:tcPr>
            <w:tcW w:type="dxa" w:w="2556"/>
            <w:vAlign w:val="center"/>
          </w:tcPr>
          <w:p>
            <w:pPr>
              <w:spacing w:after="0"/>
            </w:pPr>
            <w:r/>
            <w:r>
              <w:rPr>
                <w:rFonts w:ascii="Aptos" w:hAnsi="Aptos"/>
                <w:b w:val="0"/>
                <w:color w:val="222222"/>
                <w:sz w:val="16"/>
              </w:rPr>
              <w:t>Confirm public naming</w:t>
            </w:r>
          </w:p>
        </w:tc>
      </w:tr>
      <w:tr>
        <w:trPr>
          <w:cantSplit/>
        </w:trPr>
        <w:tc>
          <w:tcPr>
            <w:tcW w:type="dxa" w:w="2556"/>
            <w:vAlign w:val="center"/>
          </w:tcPr>
          <w:p>
            <w:pPr>
              <w:spacing w:after="0"/>
            </w:pPr>
            <w:r/>
            <w:r>
              <w:rPr>
                <w:rFonts w:ascii="Aptos" w:hAnsi="Aptos"/>
                <w:b/>
                <w:color w:val="222222"/>
                <w:sz w:val="16"/>
              </w:rPr>
              <w:t>TEECH Foundation</w:t>
            </w:r>
          </w:p>
        </w:tc>
        <w:tc>
          <w:tcPr>
            <w:tcW w:type="dxa" w:w="2556"/>
            <w:vAlign w:val="center"/>
          </w:tcPr>
          <w:p>
            <w:pPr>
              <w:spacing w:after="0"/>
            </w:pPr>
            <w:r/>
            <w:r>
              <w:rPr>
                <w:rFonts w:ascii="Aptos" w:hAnsi="Aptos"/>
                <w:b w:val="0"/>
                <w:color w:val="222222"/>
                <w:sz w:val="16"/>
              </w:rPr>
              <w:t>Community event partner / supporter</w:t>
            </w:r>
          </w:p>
        </w:tc>
        <w:tc>
          <w:tcPr>
            <w:tcW w:type="dxa" w:w="2556"/>
            <w:vAlign w:val="center"/>
          </w:tcPr>
          <w:p>
            <w:pPr>
              <w:spacing w:after="0"/>
            </w:pPr>
            <w:r/>
            <w:r>
              <w:rPr>
                <w:rFonts w:ascii="Aptos" w:hAnsi="Aptos"/>
                <w:b w:val="0"/>
                <w:color w:val="222222"/>
                <w:sz w:val="16"/>
              </w:rPr>
              <w:t>Past</w:t>
            </w:r>
          </w:p>
        </w:tc>
        <w:tc>
          <w:tcPr>
            <w:tcW w:type="dxa" w:w="2556"/>
            <w:vAlign w:val="center"/>
          </w:tcPr>
          <w:p>
            <w:pPr>
              <w:spacing w:after="0"/>
            </w:pPr>
            <w:r/>
            <w:r>
              <w:rPr>
                <w:rFonts w:ascii="Aptos" w:hAnsi="Aptos"/>
                <w:b w:val="0"/>
                <w:color w:val="222222"/>
                <w:sz w:val="16"/>
              </w:rPr>
              <w:t>Confirm public naming</w:t>
            </w:r>
          </w:p>
        </w:tc>
      </w:tr>
      <w:tr>
        <w:trPr>
          <w:cantSplit/>
        </w:trPr>
        <w:tc>
          <w:tcPr>
            <w:tcW w:type="dxa" w:w="2556"/>
            <w:vAlign w:val="center"/>
          </w:tcPr>
          <w:p>
            <w:pPr>
              <w:spacing w:after="0"/>
            </w:pPr>
            <w:r/>
            <w:r>
              <w:rPr>
                <w:rFonts w:ascii="Aptos" w:hAnsi="Aptos"/>
                <w:b/>
                <w:color w:val="222222"/>
                <w:sz w:val="16"/>
              </w:rPr>
              <w:t>Gateway Foundation / Wager Danger</w:t>
            </w:r>
          </w:p>
        </w:tc>
        <w:tc>
          <w:tcPr>
            <w:tcW w:type="dxa" w:w="2556"/>
            <w:vAlign w:val="center"/>
          </w:tcPr>
          <w:p>
            <w:pPr>
              <w:spacing w:after="0"/>
            </w:pPr>
            <w:r/>
            <w:r>
              <w:rPr>
                <w:rFonts w:ascii="Aptos" w:hAnsi="Aptos"/>
                <w:b w:val="0"/>
                <w:color w:val="222222"/>
                <w:sz w:val="16"/>
              </w:rPr>
              <w:t>Community prevention collaboration</w:t>
            </w:r>
          </w:p>
        </w:tc>
        <w:tc>
          <w:tcPr>
            <w:tcW w:type="dxa" w:w="2556"/>
            <w:vAlign w:val="center"/>
          </w:tcPr>
          <w:p>
            <w:pPr>
              <w:spacing w:after="0"/>
            </w:pPr>
            <w:r/>
            <w:r>
              <w:rPr>
                <w:rFonts w:ascii="Aptos" w:hAnsi="Aptos"/>
                <w:b w:val="0"/>
                <w:color w:val="222222"/>
                <w:sz w:val="16"/>
              </w:rPr>
              <w:t>Past / Current</w:t>
            </w:r>
          </w:p>
        </w:tc>
        <w:tc>
          <w:tcPr>
            <w:tcW w:type="dxa" w:w="2556"/>
            <w:vAlign w:val="center"/>
          </w:tcPr>
          <w:p>
            <w:pPr>
              <w:spacing w:after="0"/>
            </w:pPr>
            <w:r/>
            <w:r>
              <w:rPr>
                <w:rFonts w:ascii="Aptos" w:hAnsi="Aptos"/>
                <w:b w:val="0"/>
                <w:color w:val="222222"/>
                <w:sz w:val="16"/>
              </w:rPr>
              <w:t>Confirm public naming</w:t>
            </w:r>
          </w:p>
        </w:tc>
      </w:tr>
      <w:tr>
        <w:trPr>
          <w:cantSplit/>
        </w:trPr>
        <w:tc>
          <w:tcPr>
            <w:tcW w:type="dxa" w:w="2556"/>
            <w:vAlign w:val="center"/>
          </w:tcPr>
          <w:p>
            <w:pPr>
              <w:spacing w:after="0"/>
            </w:pPr>
            <w:r/>
            <w:r>
              <w:rPr>
                <w:rFonts w:ascii="Aptos" w:hAnsi="Aptos"/>
                <w:b/>
                <w:color w:val="222222"/>
                <w:sz w:val="16"/>
              </w:rPr>
              <w:t>Blocks 2 Cities</w:t>
            </w:r>
          </w:p>
        </w:tc>
        <w:tc>
          <w:tcPr>
            <w:tcW w:type="dxa" w:w="2556"/>
            <w:vAlign w:val="center"/>
          </w:tcPr>
          <w:p>
            <w:pPr>
              <w:spacing w:after="0"/>
            </w:pPr>
            <w:r/>
            <w:r>
              <w:rPr>
                <w:rFonts w:ascii="Aptos" w:hAnsi="Aptos"/>
                <w:b w:val="0"/>
                <w:color w:val="222222"/>
                <w:sz w:val="16"/>
              </w:rPr>
              <w:t>Community event collaborator</w:t>
            </w:r>
          </w:p>
        </w:tc>
        <w:tc>
          <w:tcPr>
            <w:tcW w:type="dxa" w:w="2556"/>
            <w:vAlign w:val="center"/>
          </w:tcPr>
          <w:p>
            <w:pPr>
              <w:spacing w:after="0"/>
            </w:pPr>
            <w:r/>
            <w:r>
              <w:rPr>
                <w:rFonts w:ascii="Aptos" w:hAnsi="Aptos"/>
                <w:b w:val="0"/>
                <w:color w:val="222222"/>
                <w:sz w:val="16"/>
              </w:rPr>
              <w:t>Past</w:t>
            </w:r>
          </w:p>
        </w:tc>
        <w:tc>
          <w:tcPr>
            <w:tcW w:type="dxa" w:w="2556"/>
            <w:vAlign w:val="center"/>
          </w:tcPr>
          <w:p>
            <w:pPr>
              <w:spacing w:after="0"/>
            </w:pPr>
            <w:r/>
            <w:r>
              <w:rPr>
                <w:rFonts w:ascii="Aptos" w:hAnsi="Aptos"/>
                <w:b w:val="0"/>
                <w:color w:val="222222"/>
                <w:sz w:val="16"/>
              </w:rPr>
              <w:t>Confirm public naming</w:t>
            </w:r>
          </w:p>
        </w:tc>
      </w:tr>
    </w:tbl>
    <w:p/>
    <w:p>
      <w:r>
        <w:rPr>
          <w:b/>
        </w:rPr>
        <w:t xml:space="preserve">Removed from this website partnership list: </w:t>
      </w:r>
      <w:r>
        <w:t>Healthcare Alternative Systems (HAS), Way Back Inn, RUSH SUD-COE, Northwestern Medicine Bronzeville Community Center, TASC, Hartgrove Behavioral Health System, and WestCare Illinois.</w:t>
      </w:r>
    </w:p>
    <w:p>
      <w:pPr>
        <w:pStyle w:val="Heading1"/>
      </w:pPr>
      <w:r>
        <w:t>5. Section 7.4 - Logo Policy</w:t>
      </w:r>
    </w:p>
    <w:p>
      <w:pPr>
        <w:pStyle w:val="Heading2"/>
      </w:pPr>
      <w:r>
        <w:t>FINAL ANSWER: NAMES ONLY - NO LOGOS.</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The website will not use organizational logos in this section. Approved organization names may be displayed as text only. The design should therefore work as a clean text-based collaborator list rather than a sponsor-logo wall.</w:t>
            </w:r>
          </w:p>
        </w:tc>
      </w:tr>
    </w:tbl>
    <w:p>
      <w:pPr>
        <w:pStyle w:val="Heading1"/>
      </w:pPr>
      <w:r>
        <w:t>6. Recommended Homepage Structure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7"/>
              </w:rPr>
              <w:t>ELEMENT</w:t>
            </w:r>
          </w:p>
        </w:tc>
        <w:tc>
          <w:tcPr>
            <w:tcW w:type="dxa" w:w="5112"/>
            <w:vAlign w:val="center"/>
            <w:shd w:fill="5B2A86"/>
          </w:tcPr>
          <w:p>
            <w:pPr>
              <w:spacing w:after="0"/>
            </w:pPr>
            <w:r/>
            <w:r>
              <w:rPr>
                <w:rFonts w:ascii="Aptos" w:hAnsi="Aptos"/>
                <w:b/>
                <w:color w:val="FFFFFF"/>
                <w:sz w:val="17"/>
              </w:rPr>
              <w:t>RECOMMENDED COPY / DIRECTION</w:t>
            </w:r>
          </w:p>
        </w:tc>
      </w:tr>
      <w:tr>
        <w:trPr>
          <w:cantSplit/>
        </w:trPr>
        <w:tc>
          <w:tcPr>
            <w:tcW w:type="dxa" w:w="5112"/>
            <w:vAlign w:val="center"/>
          </w:tcPr>
          <w:p>
            <w:pPr>
              <w:spacing w:after="0"/>
            </w:pPr>
            <w:r/>
            <w:r>
              <w:rPr>
                <w:rFonts w:ascii="Aptos" w:hAnsi="Aptos"/>
                <w:b/>
                <w:color w:val="5B2A86"/>
                <w:sz w:val="17"/>
              </w:rPr>
              <w:t>Headline</w:t>
            </w:r>
          </w:p>
        </w:tc>
        <w:tc>
          <w:tcPr>
            <w:tcW w:type="dxa" w:w="5112"/>
            <w:vAlign w:val="center"/>
          </w:tcPr>
          <w:p>
            <w:pPr>
              <w:spacing w:after="0"/>
            </w:pPr>
            <w:r/>
            <w:r>
              <w:rPr>
                <w:rFonts w:ascii="Aptos" w:hAnsi="Aptos"/>
                <w:b w:val="0"/>
                <w:color w:val="222222"/>
                <w:sz w:val="17"/>
              </w:rPr>
              <w:t>More Than a Speaker. A Collaborative Partner.</w:t>
            </w:r>
          </w:p>
        </w:tc>
      </w:tr>
      <w:tr>
        <w:trPr>
          <w:cantSplit/>
        </w:trPr>
        <w:tc>
          <w:tcPr>
            <w:tcW w:type="dxa" w:w="5112"/>
            <w:vAlign w:val="center"/>
          </w:tcPr>
          <w:p>
            <w:pPr>
              <w:spacing w:after="0"/>
            </w:pPr>
            <w:r/>
            <w:r>
              <w:rPr>
                <w:rFonts w:ascii="Aptos" w:hAnsi="Aptos"/>
                <w:b/>
                <w:color w:val="5B2A86"/>
                <w:sz w:val="17"/>
              </w:rPr>
              <w:t>Supporting copy</w:t>
            </w:r>
          </w:p>
        </w:tc>
        <w:tc>
          <w:tcPr>
            <w:tcW w:type="dxa" w:w="5112"/>
            <w:vAlign w:val="center"/>
          </w:tcPr>
          <w:p>
            <w:pPr>
              <w:spacing w:after="0"/>
            </w:pPr>
            <w:r/>
            <w:r>
              <w:rPr>
                <w:rFonts w:ascii="Aptos" w:hAnsi="Aptos"/>
                <w:b w:val="0"/>
                <w:color w:val="222222"/>
                <w:sz w:val="17"/>
              </w:rPr>
              <w:t>From one conversation to long-term strategy, Tiffany works alongside organizations to create stronger prevention, engagement, and community impact.</w:t>
            </w:r>
          </w:p>
        </w:tc>
      </w:tr>
      <w:tr>
        <w:trPr>
          <w:cantSplit/>
        </w:trPr>
        <w:tc>
          <w:tcPr>
            <w:tcW w:type="dxa" w:w="5112"/>
            <w:vAlign w:val="center"/>
          </w:tcPr>
          <w:p>
            <w:pPr>
              <w:spacing w:after="0"/>
            </w:pPr>
            <w:r/>
            <w:r>
              <w:rPr>
                <w:rFonts w:ascii="Aptos" w:hAnsi="Aptos"/>
                <w:b/>
                <w:color w:val="5B2A86"/>
                <w:sz w:val="17"/>
              </w:rPr>
              <w:t>Four pillars</w:t>
            </w:r>
          </w:p>
        </w:tc>
        <w:tc>
          <w:tcPr>
            <w:tcW w:type="dxa" w:w="5112"/>
            <w:vAlign w:val="center"/>
          </w:tcPr>
          <w:p>
            <w:pPr>
              <w:spacing w:after="0"/>
            </w:pPr>
            <w:r/>
            <w:r>
              <w:rPr>
                <w:rFonts w:ascii="Aptos" w:hAnsi="Aptos"/>
                <w:b w:val="0"/>
                <w:color w:val="222222"/>
                <w:sz w:val="17"/>
              </w:rPr>
              <w:t>SPEAK · PARTNER · STRATEGIZE · STRENGTHEN</w:t>
            </w:r>
          </w:p>
        </w:tc>
      </w:tr>
      <w:tr>
        <w:trPr>
          <w:cantSplit/>
        </w:trPr>
        <w:tc>
          <w:tcPr>
            <w:tcW w:type="dxa" w:w="5112"/>
            <w:vAlign w:val="center"/>
          </w:tcPr>
          <w:p>
            <w:pPr>
              <w:spacing w:after="0"/>
            </w:pPr>
            <w:r/>
            <w:r>
              <w:rPr>
                <w:rFonts w:ascii="Aptos" w:hAnsi="Aptos"/>
                <w:b/>
                <w:color w:val="5B2A86"/>
                <w:sz w:val="17"/>
              </w:rPr>
              <w:t>Evidence heading</w:t>
            </w:r>
          </w:p>
        </w:tc>
        <w:tc>
          <w:tcPr>
            <w:tcW w:type="dxa" w:w="5112"/>
            <w:vAlign w:val="center"/>
          </w:tcPr>
          <w:p>
            <w:pPr>
              <w:spacing w:after="0"/>
            </w:pPr>
            <w:r/>
            <w:r>
              <w:rPr>
                <w:rFonts w:ascii="Aptos" w:hAnsi="Aptos"/>
                <w:b w:val="0"/>
                <w:color w:val="222222"/>
                <w:sz w:val="17"/>
              </w:rPr>
              <w:t>Organizations &amp; Communities I've Worked Alongside</w:t>
            </w:r>
          </w:p>
        </w:tc>
      </w:tr>
      <w:tr>
        <w:trPr>
          <w:cantSplit/>
        </w:trPr>
        <w:tc>
          <w:tcPr>
            <w:tcW w:type="dxa" w:w="5112"/>
            <w:vAlign w:val="center"/>
          </w:tcPr>
          <w:p>
            <w:pPr>
              <w:spacing w:after="0"/>
            </w:pPr>
            <w:r/>
            <w:r>
              <w:rPr>
                <w:rFonts w:ascii="Aptos" w:hAnsi="Aptos"/>
                <w:b/>
                <w:color w:val="5B2A86"/>
                <w:sz w:val="17"/>
              </w:rPr>
              <w:t>Organization treatment</w:t>
            </w:r>
          </w:p>
        </w:tc>
        <w:tc>
          <w:tcPr>
            <w:tcW w:type="dxa" w:w="5112"/>
            <w:vAlign w:val="center"/>
          </w:tcPr>
          <w:p>
            <w:pPr>
              <w:spacing w:after="0"/>
            </w:pPr>
            <w:r/>
            <w:r>
              <w:rPr>
                <w:rFonts w:ascii="Aptos" w:hAnsi="Aptos"/>
                <w:b w:val="0"/>
                <w:color w:val="222222"/>
                <w:sz w:val="17"/>
              </w:rPr>
              <w:t>Approved names only. No logos.</w:t>
            </w:r>
          </w:p>
        </w:tc>
      </w:tr>
      <w:tr>
        <w:trPr>
          <w:cantSplit/>
        </w:trPr>
        <w:tc>
          <w:tcPr>
            <w:tcW w:type="dxa" w:w="5112"/>
            <w:vAlign w:val="center"/>
          </w:tcPr>
          <w:p>
            <w:pPr>
              <w:spacing w:after="0"/>
            </w:pPr>
            <w:r/>
            <w:r>
              <w:rPr>
                <w:rFonts w:ascii="Aptos" w:hAnsi="Aptos"/>
                <w:b/>
                <w:color w:val="5B2A86"/>
                <w:sz w:val="17"/>
              </w:rPr>
              <w:t>Closing line</w:t>
            </w:r>
          </w:p>
        </w:tc>
        <w:tc>
          <w:tcPr>
            <w:tcW w:type="dxa" w:w="5112"/>
            <w:vAlign w:val="center"/>
          </w:tcPr>
          <w:p>
            <w:pPr>
              <w:spacing w:after="0"/>
            </w:pPr>
            <w:r/>
            <w:r>
              <w:rPr>
                <w:rFonts w:ascii="Aptos" w:hAnsi="Aptos"/>
                <w:b w:val="0"/>
                <w:color w:val="222222"/>
                <w:sz w:val="17"/>
              </w:rPr>
              <w:t>Looking for more than a presentation? Let's build something that lasts.</w:t>
            </w:r>
          </w:p>
        </w:tc>
      </w:tr>
      <w:tr>
        <w:trPr>
          <w:cantSplit/>
        </w:trPr>
        <w:tc>
          <w:tcPr>
            <w:tcW w:type="dxa" w:w="5112"/>
            <w:vAlign w:val="center"/>
          </w:tcPr>
          <w:p>
            <w:pPr>
              <w:spacing w:after="0"/>
            </w:pPr>
            <w:r/>
            <w:r>
              <w:rPr>
                <w:rFonts w:ascii="Aptos" w:hAnsi="Aptos"/>
                <w:b/>
                <w:color w:val="5B2A86"/>
                <w:sz w:val="17"/>
              </w:rPr>
              <w:t>CTA</w:t>
            </w:r>
          </w:p>
        </w:tc>
        <w:tc>
          <w:tcPr>
            <w:tcW w:type="dxa" w:w="5112"/>
            <w:vAlign w:val="center"/>
          </w:tcPr>
          <w:p>
            <w:pPr>
              <w:spacing w:after="0"/>
            </w:pPr>
            <w:r/>
            <w:r>
              <w:rPr>
                <w:rFonts w:ascii="Aptos" w:hAnsi="Aptos"/>
                <w:b w:val="0"/>
                <w:color w:val="222222"/>
                <w:sz w:val="17"/>
              </w:rPr>
              <w:t>Explore Partnership Opportunities</w:t>
            </w:r>
          </w:p>
        </w:tc>
      </w:tr>
    </w:tbl>
    <w:p>
      <w:pPr>
        <w:pStyle w:val="Heading1"/>
      </w:pPr>
      <w:r>
        <w:t>7. Website Developer Direction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Build this as one of the homepage's full-color feature sections. Lead with the partnership headline, display the four pillars with equal visual weight, and follow with a text-only list of approved organizations. Do not use organization logos. Keep the framework distinct from the Ways to Work With Tiffany section: Section 05 explains booking formats; Section 07 explains the deeper levels of collaboration available.</w:t>
            </w:r>
          </w:p>
        </w:tc>
      </w:tr>
    </w:tbl>
    <w:p>
      <w:pPr>
        <w:pStyle w:val="Heading1"/>
      </w:pPr>
      <w:r>
        <w:t>8. Items to Confirm Before Publishing</w:t>
      </w:r>
    </w:p>
    <w:p>
      <w:pPr>
        <w:pStyle w:val="ListBullet"/>
      </w:pPr>
      <w:r>
        <w:t>Confirm public naming approval for each organization that remains on the working list.</w:t>
      </w:r>
    </w:p>
    <w:p>
      <w:pPr>
        <w:pStyle w:val="ListBullet"/>
      </w:pPr>
      <w:r>
        <w:t>Only publish organizations where the relationship has actually occurred; do not use preliminary inquiries as partnership evidence.</w:t>
      </w:r>
    </w:p>
    <w:p>
      <w:pPr>
        <w:pStyle w:val="ListBullet"/>
      </w:pPr>
      <w:r>
        <w:t>Confirm whether each service listed under STRATEGIZE and STRENGTHEN is currently offered as a standalone service.</w:t>
      </w:r>
    </w:p>
    <w:p>
      <w:pPr>
        <w:pStyle w:val="ListBullet"/>
      </w:pPr>
      <w:r>
        <w:t>Confirm whether ROSC should be written out for general website audiences.</w:t>
      </w:r>
    </w:p>
    <w:p>
      <w:pPr>
        <w:pStyle w:val="ListBullet"/>
      </w:pPr>
      <w:r>
        <w:t>Keep the no-logo policy consistent even if individual organizations later offer logo permission.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Updated Partnership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