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b/>
          <w:color w:val="17365D"/>
          <w:sz w:val="58"/>
        </w:rPr>
        <w:t>ADAPTIVE MARKET INTELLIGENCE</w:t>
      </w:r>
    </w:p>
    <w:p>
      <w:pPr>
        <w:jc w:val="center"/>
      </w:pPr>
      <w:r>
        <w:rPr>
          <w:color w:val="2D7D73"/>
          <w:sz w:val="32"/>
        </w:rPr>
        <w:t>Indian Index F&amp;O Research, Decision &amp; Execution Platform</w:t>
      </w:r>
    </w:p>
    <w:p>
      <w:pPr>
        <w:spacing w:before="320"/>
        <w:jc w:val="center"/>
      </w:pPr>
      <w:r>
        <w:rPr>
          <w:b/>
          <w:color w:val="1F2933"/>
          <w:sz w:val="24"/>
        </w:rPr>
        <w:t>FINAL ARCHITECTURE + HLD + LLD + STEP-BY-STEP BUILD ROADMAP</w:t>
      </w:r>
    </w:p>
    <w:tbl>
      <w:tblPr>
        <w:tblW w:type="auto" w:w="0"/>
        <w:jc w:val="center"/>
        <w:tblLook w:firstColumn="1" w:firstRow="1" w:lastColumn="0" w:lastRow="0" w:noHBand="0" w:noVBand="1" w:val="04A0"/>
      </w:tblPr>
      <w:tblGrid>
        <w:gridCol w:w="10282"/>
      </w:tblGrid>
      <w:tr>
        <w:tc>
          <w:tcPr>
            <w:tcW w:type="dxa" w:w="10282"/>
            <w:shd w:fill="EAF7F0"/>
            <w:tcMar>
              <w:top w:w="120" w:type="dxa"/>
              <w:start w:w="160" w:type="dxa"/>
              <w:bottom w:w="120" w:type="dxa"/>
              <w:end w:w="160" w:type="dxa"/>
            </w:tcMar>
          </w:tcPr>
          <w:p>
            <w:r>
              <w:rPr>
                <w:b/>
                <w:color w:val="17365D"/>
              </w:rPr>
              <w:t xml:space="preserve">Architecture principle: </w:t>
            </w:r>
            <w:r>
              <w:t>Parallel intelligence, centralized capital/risk/execution. Stable platform contracts; expandable trading intelligence.</w:t>
            </w:r>
          </w:p>
        </w:tc>
      </w:tr>
    </w:tbl>
    <w:p>
      <w:pPr>
        <w:spacing w:after="0"/>
      </w:pPr>
    </w:p>
    <w:p>
      <w:pPr>
        <w:spacing w:before="360"/>
        <w:jc w:val="center"/>
      </w:pPr>
      <w:r>
        <w:rPr>
          <w:color w:val="5A6670"/>
          <w:sz w:val="20"/>
        </w:rPr>
        <w:t>Scope: NIFTY • BANKNIFTY • SENSEX | CE/PE option buying first | Research → Replay → Paper → Shadow → Controlled Live</w:t>
      </w:r>
    </w:p>
    <w:p>
      <w:pPr>
        <w:spacing w:before="240"/>
        <w:jc w:val="center"/>
      </w:pPr>
      <w:r>
        <w:rPr>
          <w:b/>
          <w:color w:val="17365D"/>
          <w:sz w:val="21"/>
        </w:rPr>
        <w:t>Version 2.0 — Architecture Freeze Candidate</w:t>
      </w:r>
    </w:p>
    <w:p>
      <w:r>
        <w:br w:type="page"/>
      </w:r>
    </w:p>
    <w:p>
      <w:pPr>
        <w:pStyle w:val="Heading1"/>
      </w:pPr>
      <w:r>
        <w:t>1. Executive Summary</w:t>
      </w:r>
    </w:p>
    <w:p>
      <w:r>
        <w:t>We are building a production-grade, AI-assisted quantitative F&amp;O platform for Indian index options. The platform continuously observes NIFTY, BANKNIFTY and SENSEX, evaluates both CE and PE opportunities across relevant expiries/strikes, compares opportunities globally, applies independent capital/risk/safety controls, executes through broker adapters, reconciles broker truth, and learns through a controlled research lifecycle. It is deliberately not a simple indicator bot and not an autonomous self-modifying live trader.</w:t>
      </w:r>
    </w:p>
    <w:tbl>
      <w:tblPr>
        <w:tblW w:type="auto" w:w="0"/>
        <w:jc w:val="center"/>
        <w:tblLook w:firstColumn="1" w:firstRow="1" w:lastColumn="0" w:lastRow="0" w:noHBand="0" w:noVBand="1" w:val="04A0"/>
      </w:tblPr>
      <w:tblGrid>
        <w:gridCol w:w="10282"/>
      </w:tblGrid>
      <w:tr>
        <w:tc>
          <w:tcPr>
            <w:tcW w:type="dxa" w:w="10282"/>
            <w:shd w:fill="FFF7E7"/>
            <w:tcMar>
              <w:top w:w="120" w:type="dxa"/>
              <w:start w:w="160" w:type="dxa"/>
              <w:bottom w:w="120" w:type="dxa"/>
              <w:end w:w="160" w:type="dxa"/>
            </w:tcMar>
          </w:tcPr>
          <w:p>
            <w:r>
              <w:rPr>
                <w:b/>
                <w:color w:val="17365D"/>
              </w:rPr>
              <w:t xml:space="preserve">Primary objective: </w:t>
            </w:r>
            <w:r>
              <w:t>Discover and exploit durable, repeatable edge only when it survives realistic costs, temporal validation, replay and live paper/shadow evidence. Profit is an outcome; reproducibility, safety and decision quality are engineering requirements.</w:t>
            </w:r>
          </w:p>
        </w:tc>
      </w:tr>
    </w:tbl>
    <w:p>
      <w:pPr>
        <w:spacing w:after="0"/>
      </w:pPr>
    </w:p>
    <w:p>
      <w:pPr>
        <w:pStyle w:val="Heading2"/>
      </w:pPr>
      <w:r>
        <w:t>What the platform should do during market hours</w:t>
      </w:r>
    </w:p>
    <w:p>
      <w:pPr>
        <w:pStyle w:val="ListBullet"/>
        <w:spacing w:after="40"/>
      </w:pPr>
      <w:r>
        <w:t>Process market and option-chain events continuously rather than waiting for sequential chart analysis.</w:t>
      </w:r>
    </w:p>
    <w:p>
      <w:pPr>
        <w:pStyle w:val="ListBullet"/>
        <w:spacing w:after="40"/>
      </w:pPr>
      <w:r>
        <w:t>Maintain simultaneous multi-timeframe state for each monitored index and its relevant CE/PE contracts.</w:t>
      </w:r>
    </w:p>
    <w:p>
      <w:pPr>
        <w:pStyle w:val="ListBullet"/>
        <w:spacing w:after="40"/>
      </w:pPr>
      <w:r>
        <w:t>Run cheap filtering first, then deep analysis only on serious option candidates.</w:t>
      </w:r>
    </w:p>
    <w:p>
      <w:pPr>
        <w:pStyle w:val="ListBullet"/>
        <w:spacing w:after="40"/>
      </w:pPr>
      <w:r>
        <w:t>Compare NIFTY, BANKNIFTY and SENSEX opportunities using remaining move, option economics, liquidity, correlation and portfolio impact.</w:t>
      </w:r>
    </w:p>
    <w:p>
      <w:pPr>
        <w:pStyle w:val="ListBullet"/>
        <w:spacing w:after="40"/>
      </w:pPr>
      <w:r>
        <w:t>Produce BUY CE, BUY PE, WAIT, NO TRADE, REDUCE, EXIT or UNCERTAIN decisions with reason codes.</w:t>
      </w:r>
    </w:p>
    <w:p>
      <w:pPr>
        <w:pStyle w:val="ListBullet"/>
        <w:spacing w:after="40"/>
      </w:pPr>
      <w:r>
        <w:t>Allow independent risk and a minimal Safety Kernel to veto any trade regardless of strategy confidence.</w:t>
      </w:r>
    </w:p>
    <w:p>
      <w:pPr>
        <w:pStyle w:val="ListBullet"/>
        <w:spacing w:after="40"/>
      </w:pPr>
      <w:r>
        <w:t>Persist enough lineage to reproduce why every trade, skip, rejection and exit happened.</w:t>
      </w:r>
    </w:p>
    <w:p>
      <w:pPr>
        <w:pStyle w:val="Heading2"/>
      </w:pPr>
      <w:r>
        <w:t>Document Map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152"/>
            <w:shd w:fill="17365D"/>
            <w:tcMar>
              <w:top w:w="80" w:type="dxa"/>
              <w:start w:w="90" w:type="dxa"/>
              <w:bottom w:w="80" w:type="dxa"/>
              <w:end w:w="90" w:type="dxa"/>
            </w:tcMar>
            <w:vAlign w:val="center"/>
          </w:tcPr>
          <w:p>
            <w:pPr>
              <w:jc w:val="center"/>
            </w:pPr>
            <w:r>
              <w:rPr>
                <w:b/>
                <w:color w:val="FFFFFF"/>
                <w:sz w:val="16"/>
              </w:rPr>
              <w:t>Section</w:t>
            </w:r>
          </w:p>
        </w:tc>
        <w:tc>
          <w:tcPr>
            <w:tcW w:type="dxa" w:w="8352"/>
            <w:shd w:fill="17365D"/>
            <w:tcMar>
              <w:top w:w="80" w:type="dxa"/>
              <w:start w:w="90" w:type="dxa"/>
              <w:bottom w:w="80" w:type="dxa"/>
              <w:end w:w="90" w:type="dxa"/>
            </w:tcMar>
            <w:vAlign w:val="center"/>
          </w:tcPr>
          <w:p>
            <w:pPr>
              <w:jc w:val="center"/>
            </w:pPr>
            <w:r>
              <w:rPr>
                <w:b/>
                <w:color w:val="FFFFFF"/>
                <w:sz w:val="16"/>
              </w:rPr>
              <w:t>Purpose</w:t>
            </w:r>
          </w:p>
        </w:tc>
      </w:tr>
      <w:tr>
        <w:trPr>
          <w:cantSplit/>
        </w:trPr>
        <w:tc>
          <w:tcPr>
            <w:tcW w:type="dxa" w:w="1152"/>
            <w:tcMar>
              <w:top w:w="80" w:type="dxa"/>
              <w:start w:w="90" w:type="dxa"/>
              <w:bottom w:w="80" w:type="dxa"/>
              <w:end w:w="90" w:type="dxa"/>
            </w:tcMar>
            <w:vAlign w:val="top"/>
          </w:tcPr>
          <w:p>
            <w:pPr>
              <w:spacing w:after="0"/>
            </w:pPr>
            <w:r>
              <w:rPr>
                <w:color w:val="1F2933"/>
                <w:sz w:val="16"/>
              </w:rPr>
              <w:t>2</w:t>
            </w:r>
          </w:p>
        </w:tc>
        <w:tc>
          <w:tcPr>
            <w:tcW w:type="dxa" w:w="8352"/>
            <w:tcMar>
              <w:top w:w="80" w:type="dxa"/>
              <w:start w:w="90" w:type="dxa"/>
              <w:bottom w:w="80" w:type="dxa"/>
              <w:end w:w="90" w:type="dxa"/>
            </w:tcMar>
            <w:vAlign w:val="top"/>
          </w:tcPr>
          <w:p>
            <w:pPr>
              <w:spacing w:after="0"/>
            </w:pPr>
            <w:r>
              <w:rPr>
                <w:color w:val="1F2933"/>
                <w:sz w:val="16"/>
              </w:rPr>
              <w:t>Non-negotiable design principles</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3</w:t>
            </w:r>
          </w:p>
        </w:tc>
        <w:tc>
          <w:tcPr>
            <w:tcW w:type="dxa" w:w="8352"/>
            <w:tcMar>
              <w:top w:w="80" w:type="dxa"/>
              <w:start w:w="90" w:type="dxa"/>
              <w:bottom w:w="80" w:type="dxa"/>
              <w:end w:w="90" w:type="dxa"/>
            </w:tcMar>
            <w:shd w:fill="F7F9FB"/>
            <w:vAlign w:val="top"/>
          </w:tcPr>
          <w:p>
            <w:pPr>
              <w:spacing w:after="0"/>
            </w:pPr>
            <w:r>
              <w:rPr>
                <w:color w:val="1F2933"/>
                <w:sz w:val="16"/>
              </w:rPr>
              <w:t>High-Level Architecture</w:t>
            </w:r>
          </w:p>
        </w:tc>
      </w:tr>
      <w:tr>
        <w:trPr>
          <w:cantSplit/>
        </w:trPr>
        <w:tc>
          <w:tcPr>
            <w:tcW w:type="dxa" w:w="1152"/>
            <w:tcMar>
              <w:top w:w="80" w:type="dxa"/>
              <w:start w:w="90" w:type="dxa"/>
              <w:bottom w:w="80" w:type="dxa"/>
              <w:end w:w="90" w:type="dxa"/>
            </w:tcMar>
            <w:vAlign w:val="top"/>
          </w:tcPr>
          <w:p>
            <w:pPr>
              <w:spacing w:after="0"/>
            </w:pPr>
            <w:r>
              <w:rPr>
                <w:color w:val="1F2933"/>
                <w:sz w:val="16"/>
              </w:rPr>
              <w:t>4</w:t>
            </w:r>
          </w:p>
        </w:tc>
        <w:tc>
          <w:tcPr>
            <w:tcW w:type="dxa" w:w="8352"/>
            <w:tcMar>
              <w:top w:w="80" w:type="dxa"/>
              <w:start w:w="90" w:type="dxa"/>
              <w:bottom w:w="80" w:type="dxa"/>
              <w:end w:w="90" w:type="dxa"/>
            </w:tcMar>
            <w:vAlign w:val="top"/>
          </w:tcPr>
          <w:p>
            <w:pPr>
              <w:spacing w:after="0"/>
            </w:pPr>
            <w:r>
              <w:rPr>
                <w:color w:val="1F2933"/>
                <w:sz w:val="16"/>
              </w:rPr>
              <w:t>Real-time parallel market scanning</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5</w:t>
            </w:r>
          </w:p>
        </w:tc>
        <w:tc>
          <w:tcPr>
            <w:tcW w:type="dxa" w:w="8352"/>
            <w:tcMar>
              <w:top w:w="80" w:type="dxa"/>
              <w:start w:w="90" w:type="dxa"/>
              <w:bottom w:w="80" w:type="dxa"/>
              <w:end w:w="90" w:type="dxa"/>
            </w:tcMar>
            <w:shd w:fill="F7F9FB"/>
            <w:vAlign w:val="top"/>
          </w:tcPr>
          <w:p>
            <w:pPr>
              <w:spacing w:after="0"/>
            </w:pPr>
            <w:r>
              <w:rPr>
                <w:color w:val="1F2933"/>
                <w:sz w:val="16"/>
              </w:rPr>
              <w:t>Low-Level component design</w:t>
            </w:r>
          </w:p>
        </w:tc>
      </w:tr>
      <w:tr>
        <w:trPr>
          <w:cantSplit/>
        </w:trPr>
        <w:tc>
          <w:tcPr>
            <w:tcW w:type="dxa" w:w="1152"/>
            <w:tcMar>
              <w:top w:w="80" w:type="dxa"/>
              <w:start w:w="90" w:type="dxa"/>
              <w:bottom w:w="80" w:type="dxa"/>
              <w:end w:w="90" w:type="dxa"/>
            </w:tcMar>
            <w:vAlign w:val="top"/>
          </w:tcPr>
          <w:p>
            <w:pPr>
              <w:spacing w:after="0"/>
            </w:pPr>
            <w:r>
              <w:rPr>
                <w:color w:val="1F2933"/>
                <w:sz w:val="16"/>
              </w:rPr>
              <w:t>6</w:t>
            </w:r>
          </w:p>
        </w:tc>
        <w:tc>
          <w:tcPr>
            <w:tcW w:type="dxa" w:w="8352"/>
            <w:tcMar>
              <w:top w:w="80" w:type="dxa"/>
              <w:start w:w="90" w:type="dxa"/>
              <w:bottom w:w="80" w:type="dxa"/>
              <w:end w:w="90" w:type="dxa"/>
            </w:tcMar>
            <w:vAlign w:val="top"/>
          </w:tcPr>
          <w:p>
            <w:pPr>
              <w:spacing w:after="0"/>
            </w:pPr>
            <w:r>
              <w:rPr>
                <w:color w:val="1F2933"/>
                <w:sz w:val="16"/>
              </w:rPr>
              <w:t>Domain contracts and state machines</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7</w:t>
            </w:r>
          </w:p>
        </w:tc>
        <w:tc>
          <w:tcPr>
            <w:tcW w:type="dxa" w:w="8352"/>
            <w:tcMar>
              <w:top w:w="80" w:type="dxa"/>
              <w:start w:w="90" w:type="dxa"/>
              <w:bottom w:w="80" w:type="dxa"/>
              <w:end w:w="90" w:type="dxa"/>
            </w:tcMar>
            <w:shd w:fill="F7F9FB"/>
            <w:vAlign w:val="top"/>
          </w:tcPr>
          <w:p>
            <w:pPr>
              <w:spacing w:after="0"/>
            </w:pPr>
            <w:r>
              <w:rPr>
                <w:color w:val="1F2933"/>
                <w:sz w:val="16"/>
              </w:rPr>
              <w:t>Data architecture and point-in-time correctness</w:t>
            </w:r>
          </w:p>
        </w:tc>
      </w:tr>
      <w:tr>
        <w:trPr>
          <w:cantSplit/>
        </w:trPr>
        <w:tc>
          <w:tcPr>
            <w:tcW w:type="dxa" w:w="1152"/>
            <w:tcMar>
              <w:top w:w="80" w:type="dxa"/>
              <w:start w:w="90" w:type="dxa"/>
              <w:bottom w:w="80" w:type="dxa"/>
              <w:end w:w="90" w:type="dxa"/>
            </w:tcMar>
            <w:vAlign w:val="top"/>
          </w:tcPr>
          <w:p>
            <w:pPr>
              <w:spacing w:after="0"/>
            </w:pPr>
            <w:r>
              <w:rPr>
                <w:color w:val="1F2933"/>
                <w:sz w:val="16"/>
              </w:rPr>
              <w:t>8</w:t>
            </w:r>
          </w:p>
        </w:tc>
        <w:tc>
          <w:tcPr>
            <w:tcW w:type="dxa" w:w="8352"/>
            <w:tcMar>
              <w:top w:w="80" w:type="dxa"/>
              <w:start w:w="90" w:type="dxa"/>
              <w:bottom w:w="80" w:type="dxa"/>
              <w:end w:w="90" w:type="dxa"/>
            </w:tcMar>
            <w:vAlign w:val="top"/>
          </w:tcPr>
          <w:p>
            <w:pPr>
              <w:spacing w:after="0"/>
            </w:pPr>
            <w:r>
              <w:rPr>
                <w:color w:val="1F2933"/>
                <w:sz w:val="16"/>
              </w:rPr>
              <w:t>Performance and efficiency architecture</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9</w:t>
            </w:r>
          </w:p>
        </w:tc>
        <w:tc>
          <w:tcPr>
            <w:tcW w:type="dxa" w:w="8352"/>
            <w:tcMar>
              <w:top w:w="80" w:type="dxa"/>
              <w:start w:w="90" w:type="dxa"/>
              <w:bottom w:w="80" w:type="dxa"/>
              <w:end w:w="90" w:type="dxa"/>
            </w:tcMar>
            <w:shd w:fill="F7F9FB"/>
            <w:vAlign w:val="top"/>
          </w:tcPr>
          <w:p>
            <w:pPr>
              <w:spacing w:after="0"/>
            </w:pPr>
            <w:r>
              <w:rPr>
                <w:color w:val="1F2933"/>
                <w:sz w:val="16"/>
              </w:rPr>
              <w:t>Risk, safety and execution</w:t>
            </w:r>
          </w:p>
        </w:tc>
      </w:tr>
      <w:tr>
        <w:trPr>
          <w:cantSplit/>
        </w:trPr>
        <w:tc>
          <w:tcPr>
            <w:tcW w:type="dxa" w:w="1152"/>
            <w:tcMar>
              <w:top w:w="80" w:type="dxa"/>
              <w:start w:w="90" w:type="dxa"/>
              <w:bottom w:w="80" w:type="dxa"/>
              <w:end w:w="90" w:type="dxa"/>
            </w:tcMar>
            <w:vAlign w:val="top"/>
          </w:tcPr>
          <w:p>
            <w:pPr>
              <w:spacing w:after="0"/>
            </w:pPr>
            <w:r>
              <w:rPr>
                <w:color w:val="1F2933"/>
                <w:sz w:val="16"/>
              </w:rPr>
              <w:t>10</w:t>
            </w:r>
          </w:p>
        </w:tc>
        <w:tc>
          <w:tcPr>
            <w:tcW w:type="dxa" w:w="8352"/>
            <w:tcMar>
              <w:top w:w="80" w:type="dxa"/>
              <w:start w:w="90" w:type="dxa"/>
              <w:bottom w:w="80" w:type="dxa"/>
              <w:end w:w="90" w:type="dxa"/>
            </w:tcMar>
            <w:vAlign w:val="top"/>
          </w:tcPr>
          <w:p>
            <w:pPr>
              <w:spacing w:after="0"/>
            </w:pPr>
            <w:r>
              <w:rPr>
                <w:color w:val="1F2933"/>
                <w:sz w:val="16"/>
              </w:rPr>
              <w:t>Research, validation and continuous improvement</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11</w:t>
            </w:r>
          </w:p>
        </w:tc>
        <w:tc>
          <w:tcPr>
            <w:tcW w:type="dxa" w:w="8352"/>
            <w:tcMar>
              <w:top w:w="80" w:type="dxa"/>
              <w:start w:w="90" w:type="dxa"/>
              <w:bottom w:w="80" w:type="dxa"/>
              <w:end w:w="90" w:type="dxa"/>
            </w:tcMar>
            <w:shd w:fill="F7F9FB"/>
            <w:vAlign w:val="top"/>
          </w:tcPr>
          <w:p>
            <w:pPr>
              <w:spacing w:after="0"/>
            </w:pPr>
            <w:r>
              <w:rPr>
                <w:color w:val="1F2933"/>
                <w:sz w:val="16"/>
              </w:rPr>
              <w:t>Testing and fault architecture</w:t>
            </w:r>
          </w:p>
        </w:tc>
      </w:tr>
      <w:tr>
        <w:trPr>
          <w:cantSplit/>
        </w:trPr>
        <w:tc>
          <w:tcPr>
            <w:tcW w:type="dxa" w:w="1152"/>
            <w:tcMar>
              <w:top w:w="80" w:type="dxa"/>
              <w:start w:w="90" w:type="dxa"/>
              <w:bottom w:w="80" w:type="dxa"/>
              <w:end w:w="90" w:type="dxa"/>
            </w:tcMar>
            <w:vAlign w:val="top"/>
          </w:tcPr>
          <w:p>
            <w:pPr>
              <w:spacing w:after="0"/>
            </w:pPr>
            <w:r>
              <w:rPr>
                <w:color w:val="1F2933"/>
                <w:sz w:val="16"/>
              </w:rPr>
              <w:t>12</w:t>
            </w:r>
          </w:p>
        </w:tc>
        <w:tc>
          <w:tcPr>
            <w:tcW w:type="dxa" w:w="8352"/>
            <w:tcMar>
              <w:top w:w="80" w:type="dxa"/>
              <w:start w:w="90" w:type="dxa"/>
              <w:bottom w:w="80" w:type="dxa"/>
              <w:end w:w="90" w:type="dxa"/>
            </w:tcMar>
            <w:vAlign w:val="top"/>
          </w:tcPr>
          <w:p>
            <w:pPr>
              <w:spacing w:after="0"/>
            </w:pPr>
            <w:r>
              <w:rPr>
                <w:color w:val="1F2933"/>
                <w:sz w:val="16"/>
              </w:rPr>
              <w:t>AWS V1 and production evolution</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13</w:t>
            </w:r>
          </w:p>
        </w:tc>
        <w:tc>
          <w:tcPr>
            <w:tcW w:type="dxa" w:w="8352"/>
            <w:tcMar>
              <w:top w:w="80" w:type="dxa"/>
              <w:start w:w="90" w:type="dxa"/>
              <w:bottom w:w="80" w:type="dxa"/>
              <w:end w:w="90" w:type="dxa"/>
            </w:tcMar>
            <w:shd w:fill="F7F9FB"/>
            <w:vAlign w:val="top"/>
          </w:tcPr>
          <w:p>
            <w:pPr>
              <w:spacing w:after="0"/>
            </w:pPr>
            <w:r>
              <w:rPr>
                <w:color w:val="1F2933"/>
                <w:sz w:val="16"/>
              </w:rPr>
              <w:t>Security, compliance and operations</w:t>
            </w:r>
          </w:p>
        </w:tc>
      </w:tr>
      <w:tr>
        <w:trPr>
          <w:cantSplit/>
        </w:trPr>
        <w:tc>
          <w:tcPr>
            <w:tcW w:type="dxa" w:w="1152"/>
            <w:tcMar>
              <w:top w:w="80" w:type="dxa"/>
              <w:start w:w="90" w:type="dxa"/>
              <w:bottom w:w="80" w:type="dxa"/>
              <w:end w:w="90" w:type="dxa"/>
            </w:tcMar>
            <w:vAlign w:val="top"/>
          </w:tcPr>
          <w:p>
            <w:pPr>
              <w:spacing w:after="0"/>
            </w:pPr>
            <w:r>
              <w:rPr>
                <w:color w:val="1F2933"/>
                <w:sz w:val="16"/>
              </w:rPr>
              <w:t>14</w:t>
            </w:r>
          </w:p>
        </w:tc>
        <w:tc>
          <w:tcPr>
            <w:tcW w:type="dxa" w:w="8352"/>
            <w:tcMar>
              <w:top w:w="80" w:type="dxa"/>
              <w:start w:w="90" w:type="dxa"/>
              <w:bottom w:w="80" w:type="dxa"/>
              <w:end w:w="90" w:type="dxa"/>
            </w:tcMar>
            <w:vAlign w:val="top"/>
          </w:tcPr>
          <w:p>
            <w:pPr>
              <w:spacing w:after="0"/>
            </w:pPr>
            <w:r>
              <w:rPr>
                <w:color w:val="1F2933"/>
                <w:sz w:val="16"/>
              </w:rPr>
              <w:t>Step-by-step build roadmap P0–P19</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15</w:t>
            </w:r>
          </w:p>
        </w:tc>
        <w:tc>
          <w:tcPr>
            <w:tcW w:type="dxa" w:w="8352"/>
            <w:tcMar>
              <w:top w:w="80" w:type="dxa"/>
              <w:start w:w="90" w:type="dxa"/>
              <w:bottom w:w="80" w:type="dxa"/>
              <w:end w:w="90" w:type="dxa"/>
            </w:tcMar>
            <w:shd w:fill="F7F9FB"/>
            <w:vAlign w:val="top"/>
          </w:tcPr>
          <w:p>
            <w:pPr>
              <w:spacing w:after="0"/>
            </w:pPr>
            <w:r>
              <w:rPr>
                <w:color w:val="1F2933"/>
                <w:sz w:val="16"/>
              </w:rPr>
              <w:t>Immediate next actions and architecture freeze checklist</w:t>
            </w:r>
          </w:p>
        </w:tc>
      </w:tr>
    </w:tbl>
    <w:p>
      <w:pPr>
        <w:spacing w:after="0"/>
      </w:pPr>
    </w:p>
    <w:p>
      <w:r>
        <w:br w:type="page"/>
      </w:r>
    </w:p>
    <w:p>
      <w:pPr>
        <w:pStyle w:val="Heading1"/>
      </w:pPr>
      <w:r>
        <w:t>2. Non-Negotiable Design Principles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65D"/>
            <w:tcMar>
              <w:top w:w="80" w:type="dxa"/>
              <w:start w:w="90" w:type="dxa"/>
              <w:bottom w:w="80" w:type="dxa"/>
              <w:end w:w="90" w:type="dxa"/>
            </w:tcMar>
            <w:vAlign w:val="center"/>
          </w:tcPr>
          <w:p>
            <w:pPr>
              <w:jc w:val="center"/>
            </w:pPr>
            <w:r>
              <w:rPr>
                <w:b/>
                <w:color w:val="FFFFFF"/>
                <w:sz w:val="17"/>
              </w:rPr>
              <w:t>Principle</w:t>
            </w:r>
          </w:p>
        </w:tc>
        <w:tc>
          <w:tcPr>
            <w:tcW w:type="dxa" w:w="7056"/>
            <w:shd w:fill="17365D"/>
            <w:tcMar>
              <w:top w:w="80" w:type="dxa"/>
              <w:start w:w="90" w:type="dxa"/>
              <w:bottom w:w="80" w:type="dxa"/>
              <w:end w:w="90" w:type="dxa"/>
            </w:tcMar>
            <w:vAlign w:val="center"/>
          </w:tcPr>
          <w:p>
            <w:pPr>
              <w:jc w:val="center"/>
            </w:pPr>
            <w:r>
              <w:rPr>
                <w:b/>
                <w:color w:val="FFFFFF"/>
                <w:sz w:val="17"/>
              </w:rPr>
              <w:t>Meaning</w:t>
            </w:r>
          </w:p>
        </w:tc>
      </w:tr>
      <w:tr>
        <w:trPr>
          <w:cantSplit/>
        </w:trPr>
        <w:tc>
          <w:tcPr>
            <w:tcW w:type="dxa" w:w="2448"/>
            <w:tcMar>
              <w:top w:w="80" w:type="dxa"/>
              <w:start w:w="90" w:type="dxa"/>
              <w:bottom w:w="80" w:type="dxa"/>
              <w:end w:w="90" w:type="dxa"/>
            </w:tcMar>
            <w:vAlign w:val="top"/>
          </w:tcPr>
          <w:p>
            <w:pPr>
              <w:spacing w:after="0"/>
            </w:pPr>
            <w:r>
              <w:rPr>
                <w:color w:val="1F2933"/>
                <w:sz w:val="17"/>
              </w:rPr>
              <w:t>No future information</w:t>
            </w:r>
          </w:p>
        </w:tc>
        <w:tc>
          <w:tcPr>
            <w:tcW w:type="dxa" w:w="7056"/>
            <w:tcMar>
              <w:top w:w="80" w:type="dxa"/>
              <w:start w:w="90" w:type="dxa"/>
              <w:bottom w:w="80" w:type="dxa"/>
              <w:end w:w="90" w:type="dxa"/>
            </w:tcMar>
            <w:vAlign w:val="top"/>
          </w:tcPr>
          <w:p>
            <w:pPr>
              <w:spacing w:after="0"/>
            </w:pPr>
            <w:r>
              <w:rPr>
                <w:color w:val="1F2933"/>
                <w:sz w:val="17"/>
              </w:rPr>
              <w:t>Every decision is valid only from information available at its as_of timestamp. No look-ahead, future option snapshots or hidden forward-fill leakage.</w:t>
            </w:r>
          </w:p>
        </w:tc>
      </w:tr>
      <w:tr>
        <w:trPr>
          <w:cantSplit/>
        </w:trPr>
        <w:tc>
          <w:tcPr>
            <w:tcW w:type="dxa" w:w="2448"/>
            <w:tcMar>
              <w:top w:w="80" w:type="dxa"/>
              <w:start w:w="90" w:type="dxa"/>
              <w:bottom w:w="80" w:type="dxa"/>
              <w:end w:w="90" w:type="dxa"/>
            </w:tcMar>
            <w:shd w:fill="F7F9FB"/>
            <w:vAlign w:val="top"/>
          </w:tcPr>
          <w:p>
            <w:pPr>
              <w:spacing w:after="0"/>
            </w:pPr>
            <w:r>
              <w:rPr>
                <w:color w:val="1F2933"/>
                <w:sz w:val="17"/>
              </w:rPr>
              <w:t>Parallel intelligence, centralized control</w:t>
            </w:r>
          </w:p>
        </w:tc>
        <w:tc>
          <w:tcPr>
            <w:tcW w:type="dxa" w:w="7056"/>
            <w:tcMar>
              <w:top w:w="80" w:type="dxa"/>
              <w:start w:w="90" w:type="dxa"/>
              <w:bottom w:w="80" w:type="dxa"/>
              <w:end w:w="90" w:type="dxa"/>
            </w:tcMar>
            <w:shd w:fill="F7F9FB"/>
            <w:vAlign w:val="top"/>
          </w:tcPr>
          <w:p>
            <w:pPr>
              <w:spacing w:after="0"/>
            </w:pPr>
            <w:r>
              <w:rPr>
                <w:color w:val="1F2933"/>
                <w:sz w:val="17"/>
              </w:rPr>
              <w:t>Multiple markets/timeframes/options are analysed concurrently, but capital, risk and execution remain coordinated in one portfolio brain.</w:t>
            </w:r>
          </w:p>
        </w:tc>
      </w:tr>
      <w:tr>
        <w:trPr>
          <w:cantSplit/>
        </w:trPr>
        <w:tc>
          <w:tcPr>
            <w:tcW w:type="dxa" w:w="2448"/>
            <w:tcMar>
              <w:top w:w="80" w:type="dxa"/>
              <w:start w:w="90" w:type="dxa"/>
              <w:bottom w:w="80" w:type="dxa"/>
              <w:end w:w="90" w:type="dxa"/>
            </w:tcMar>
            <w:vAlign w:val="top"/>
          </w:tcPr>
          <w:p>
            <w:pPr>
              <w:spacing w:after="0"/>
            </w:pPr>
            <w:r>
              <w:rPr>
                <w:color w:val="1F2933"/>
                <w:sz w:val="17"/>
              </w:rPr>
              <w:t>Raw data is immutable</w:t>
            </w:r>
          </w:p>
        </w:tc>
        <w:tc>
          <w:tcPr>
            <w:tcW w:type="dxa" w:w="7056"/>
            <w:tcMar>
              <w:top w:w="80" w:type="dxa"/>
              <w:start w:w="90" w:type="dxa"/>
              <w:bottom w:w="80" w:type="dxa"/>
              <w:end w:w="90" w:type="dxa"/>
            </w:tcMar>
            <w:vAlign w:val="top"/>
          </w:tcPr>
          <w:p>
            <w:pPr>
              <w:spacing w:after="0"/>
            </w:pPr>
            <w:r>
              <w:rPr>
                <w:color w:val="1F2933"/>
                <w:sz w:val="17"/>
              </w:rPr>
              <w:t>Original market events are append-only. Normalized/features/models are versioned derivatives.</w:t>
            </w:r>
          </w:p>
        </w:tc>
      </w:tr>
      <w:tr>
        <w:trPr>
          <w:cantSplit/>
        </w:trPr>
        <w:tc>
          <w:tcPr>
            <w:tcW w:type="dxa" w:w="2448"/>
            <w:tcMar>
              <w:top w:w="80" w:type="dxa"/>
              <w:start w:w="90" w:type="dxa"/>
              <w:bottom w:w="80" w:type="dxa"/>
              <w:end w:w="90" w:type="dxa"/>
            </w:tcMar>
            <w:shd w:fill="F7F9FB"/>
            <w:vAlign w:val="top"/>
          </w:tcPr>
          <w:p>
            <w:pPr>
              <w:spacing w:after="0"/>
            </w:pPr>
            <w:r>
              <w:rPr>
                <w:color w:val="1F2933"/>
                <w:sz w:val="17"/>
              </w:rPr>
              <w:t>Risk is independent</w:t>
            </w:r>
          </w:p>
        </w:tc>
        <w:tc>
          <w:tcPr>
            <w:tcW w:type="dxa" w:w="7056"/>
            <w:tcMar>
              <w:top w:w="80" w:type="dxa"/>
              <w:start w:w="90" w:type="dxa"/>
              <w:bottom w:w="80" w:type="dxa"/>
              <w:end w:w="90" w:type="dxa"/>
            </w:tcMar>
            <w:shd w:fill="F7F9FB"/>
            <w:vAlign w:val="top"/>
          </w:tcPr>
          <w:p>
            <w:pPr>
              <w:spacing w:after="0"/>
            </w:pPr>
            <w:r>
              <w:rPr>
                <w:color w:val="1F2933"/>
                <w:sz w:val="17"/>
              </w:rPr>
              <w:t>Strategies propose opportunities; risk may approve, resize, reject, reduce, exit or halt.</w:t>
            </w:r>
          </w:p>
        </w:tc>
      </w:tr>
      <w:tr>
        <w:trPr>
          <w:cantSplit/>
        </w:trPr>
        <w:tc>
          <w:tcPr>
            <w:tcW w:type="dxa" w:w="2448"/>
            <w:tcMar>
              <w:top w:w="80" w:type="dxa"/>
              <w:start w:w="90" w:type="dxa"/>
              <w:bottom w:w="80" w:type="dxa"/>
              <w:end w:w="90" w:type="dxa"/>
            </w:tcMar>
            <w:vAlign w:val="top"/>
          </w:tcPr>
          <w:p>
            <w:pPr>
              <w:spacing w:after="0"/>
            </w:pPr>
            <w:r>
              <w:rPr>
                <w:color w:val="1F2933"/>
                <w:sz w:val="17"/>
              </w:rPr>
              <w:t>Safety is simpler than intelligence</w:t>
            </w:r>
          </w:p>
        </w:tc>
        <w:tc>
          <w:tcPr>
            <w:tcW w:type="dxa" w:w="7056"/>
            <w:tcMar>
              <w:top w:w="80" w:type="dxa"/>
              <w:start w:w="90" w:type="dxa"/>
              <w:bottom w:w="80" w:type="dxa"/>
              <w:end w:w="90" w:type="dxa"/>
            </w:tcMar>
            <w:vAlign w:val="top"/>
          </w:tcPr>
          <w:p>
            <w:pPr>
              <w:spacing w:after="0"/>
            </w:pPr>
            <w:r>
              <w:rPr>
                <w:color w:val="1F2933"/>
                <w:sz w:val="17"/>
              </w:rPr>
              <w:t>The Safety Kernel contains hard deterministic checks only. No ML/LLM or adaptive relaxation of hard limits.</w:t>
            </w:r>
          </w:p>
        </w:tc>
      </w:tr>
      <w:tr>
        <w:trPr>
          <w:cantSplit/>
        </w:trPr>
        <w:tc>
          <w:tcPr>
            <w:tcW w:type="dxa" w:w="2448"/>
            <w:tcMar>
              <w:top w:w="80" w:type="dxa"/>
              <w:start w:w="90" w:type="dxa"/>
              <w:bottom w:w="80" w:type="dxa"/>
              <w:end w:w="90" w:type="dxa"/>
            </w:tcMar>
            <w:shd w:fill="F7F9FB"/>
            <w:vAlign w:val="top"/>
          </w:tcPr>
          <w:p>
            <w:pPr>
              <w:spacing w:after="0"/>
            </w:pPr>
            <w:r>
              <w:rPr>
                <w:color w:val="1F2933"/>
                <w:sz w:val="17"/>
              </w:rPr>
              <w:t>NO TRADE is first-class</w:t>
            </w:r>
          </w:p>
        </w:tc>
        <w:tc>
          <w:tcPr>
            <w:tcW w:type="dxa" w:w="7056"/>
            <w:tcMar>
              <w:top w:w="80" w:type="dxa"/>
              <w:start w:w="90" w:type="dxa"/>
              <w:bottom w:w="80" w:type="dxa"/>
              <w:end w:w="90" w:type="dxa"/>
            </w:tcMar>
            <w:shd w:fill="F7F9FB"/>
            <w:vAlign w:val="top"/>
          </w:tcPr>
          <w:p>
            <w:pPr>
              <w:spacing w:after="0"/>
            </w:pPr>
            <w:r>
              <w:rPr>
                <w:color w:val="1F2933"/>
                <w:sz w:val="17"/>
              </w:rPr>
              <w:t>Doing nothing is correct when edge, data quality, option economics or risk are insufficient.</w:t>
            </w:r>
          </w:p>
        </w:tc>
      </w:tr>
      <w:tr>
        <w:trPr>
          <w:cantSplit/>
        </w:trPr>
        <w:tc>
          <w:tcPr>
            <w:tcW w:type="dxa" w:w="2448"/>
            <w:tcMar>
              <w:top w:w="80" w:type="dxa"/>
              <w:start w:w="90" w:type="dxa"/>
              <w:bottom w:w="80" w:type="dxa"/>
              <w:end w:w="90" w:type="dxa"/>
            </w:tcMar>
            <w:vAlign w:val="top"/>
          </w:tcPr>
          <w:p>
            <w:pPr>
              <w:spacing w:after="0"/>
            </w:pPr>
            <w:r>
              <w:rPr>
                <w:color w:val="1F2933"/>
                <w:sz w:val="17"/>
              </w:rPr>
              <w:t>Research never directly trades</w:t>
            </w:r>
          </w:p>
        </w:tc>
        <w:tc>
          <w:tcPr>
            <w:tcW w:type="dxa" w:w="7056"/>
            <w:tcMar>
              <w:top w:w="80" w:type="dxa"/>
              <w:start w:w="90" w:type="dxa"/>
              <w:bottom w:w="80" w:type="dxa"/>
              <w:end w:w="90" w:type="dxa"/>
            </w:tcMar>
            <w:vAlign w:val="top"/>
          </w:tcPr>
          <w:p>
            <w:pPr>
              <w:spacing w:after="0"/>
            </w:pPr>
            <w:r>
              <w:rPr>
                <w:color w:val="1F2933"/>
                <w:sz w:val="17"/>
              </w:rPr>
              <w:t>LLMs, notebooks and research agents can create candidate artifacts only. Promotion to live requires explicit gates.</w:t>
            </w:r>
          </w:p>
        </w:tc>
      </w:tr>
      <w:tr>
        <w:trPr>
          <w:cantSplit/>
        </w:trPr>
        <w:tc>
          <w:tcPr>
            <w:tcW w:type="dxa" w:w="2448"/>
            <w:tcMar>
              <w:top w:w="80" w:type="dxa"/>
              <w:start w:w="90" w:type="dxa"/>
              <w:bottom w:w="80" w:type="dxa"/>
              <w:end w:w="90" w:type="dxa"/>
            </w:tcMar>
            <w:shd w:fill="F7F9FB"/>
            <w:vAlign w:val="top"/>
          </w:tcPr>
          <w:p>
            <w:pPr>
              <w:spacing w:after="0"/>
            </w:pPr>
            <w:r>
              <w:rPr>
                <w:color w:val="1F2933"/>
                <w:sz w:val="17"/>
              </w:rPr>
              <w:t>Broker/cloud are adapters</w:t>
            </w:r>
          </w:p>
        </w:tc>
        <w:tc>
          <w:tcPr>
            <w:tcW w:type="dxa" w:w="7056"/>
            <w:tcMar>
              <w:top w:w="80" w:type="dxa"/>
              <w:start w:w="90" w:type="dxa"/>
              <w:bottom w:w="80" w:type="dxa"/>
              <w:end w:w="90" w:type="dxa"/>
            </w:tcMar>
            <w:shd w:fill="F7F9FB"/>
            <w:vAlign w:val="top"/>
          </w:tcPr>
          <w:p>
            <w:pPr>
              <w:spacing w:after="0"/>
            </w:pPr>
            <w:r>
              <w:rPr>
                <w:color w:val="1F2933"/>
                <w:sz w:val="17"/>
              </w:rPr>
              <w:t>Domain logic must not depend directly on one broker SDK or cloud provider.</w:t>
            </w:r>
          </w:p>
        </w:tc>
      </w:tr>
      <w:tr>
        <w:trPr>
          <w:cantSplit/>
        </w:trPr>
        <w:tc>
          <w:tcPr>
            <w:tcW w:type="dxa" w:w="2448"/>
            <w:tcMar>
              <w:top w:w="80" w:type="dxa"/>
              <w:start w:w="90" w:type="dxa"/>
              <w:bottom w:w="80" w:type="dxa"/>
              <w:end w:w="90" w:type="dxa"/>
            </w:tcMar>
            <w:vAlign w:val="top"/>
          </w:tcPr>
          <w:p>
            <w:pPr>
              <w:spacing w:after="0"/>
            </w:pPr>
            <w:r>
              <w:rPr>
                <w:color w:val="1F2933"/>
                <w:sz w:val="17"/>
              </w:rPr>
              <w:t>Idempotent execution</w:t>
            </w:r>
          </w:p>
        </w:tc>
        <w:tc>
          <w:tcPr>
            <w:tcW w:type="dxa" w:w="7056"/>
            <w:tcMar>
              <w:top w:w="80" w:type="dxa"/>
              <w:start w:w="90" w:type="dxa"/>
              <w:bottom w:w="80" w:type="dxa"/>
              <w:end w:w="90" w:type="dxa"/>
            </w:tcMar>
            <w:vAlign w:val="top"/>
          </w:tcPr>
          <w:p>
            <w:pPr>
              <w:spacing w:after="0"/>
            </w:pPr>
            <w:r>
              <w:rPr>
                <w:color w:val="1F2933"/>
                <w:sz w:val="17"/>
              </w:rPr>
              <w:t>A timeout is UNKNOWN, not an invitation to blindly resend. Reconcile before retrying.</w:t>
            </w:r>
          </w:p>
        </w:tc>
      </w:tr>
      <w:tr>
        <w:trPr>
          <w:cantSplit/>
        </w:trPr>
        <w:tc>
          <w:tcPr>
            <w:tcW w:type="dxa" w:w="2448"/>
            <w:tcMar>
              <w:top w:w="80" w:type="dxa"/>
              <w:start w:w="90" w:type="dxa"/>
              <w:bottom w:w="80" w:type="dxa"/>
              <w:end w:w="90" w:type="dxa"/>
            </w:tcMar>
            <w:shd w:fill="F7F9FB"/>
            <w:vAlign w:val="top"/>
          </w:tcPr>
          <w:p>
            <w:pPr>
              <w:spacing w:after="0"/>
            </w:pPr>
            <w:r>
              <w:rPr>
                <w:color w:val="1F2933"/>
                <w:sz w:val="17"/>
              </w:rPr>
              <w:t>Same core logic across modes</w:t>
            </w:r>
          </w:p>
        </w:tc>
        <w:tc>
          <w:tcPr>
            <w:tcW w:type="dxa" w:w="7056"/>
            <w:tcMar>
              <w:top w:w="80" w:type="dxa"/>
              <w:start w:w="90" w:type="dxa"/>
              <w:bottom w:w="80" w:type="dxa"/>
              <w:end w:w="90" w:type="dxa"/>
            </w:tcMar>
            <w:shd w:fill="F7F9FB"/>
            <w:vAlign w:val="top"/>
          </w:tcPr>
          <w:p>
            <w:pPr>
              <w:spacing w:after="0"/>
            </w:pPr>
            <w:r>
              <w:rPr>
                <w:color w:val="1F2933"/>
                <w:sz w:val="17"/>
              </w:rPr>
              <w:t>Backtest/replay/paper/live should share domain logic; clocks, feeds and execution adapters change.</w:t>
            </w:r>
          </w:p>
        </w:tc>
      </w:tr>
      <w:tr>
        <w:trPr>
          <w:cantSplit/>
        </w:trPr>
        <w:tc>
          <w:tcPr>
            <w:tcW w:type="dxa" w:w="2448"/>
            <w:tcMar>
              <w:top w:w="80" w:type="dxa"/>
              <w:start w:w="90" w:type="dxa"/>
              <w:bottom w:w="80" w:type="dxa"/>
              <w:end w:w="90" w:type="dxa"/>
            </w:tcMar>
            <w:vAlign w:val="top"/>
          </w:tcPr>
          <w:p>
            <w:pPr>
              <w:spacing w:after="0"/>
            </w:pPr>
            <w:r>
              <w:rPr>
                <w:color w:val="1F2933"/>
                <w:sz w:val="17"/>
              </w:rPr>
              <w:t>Complexity is earned</w:t>
            </w:r>
          </w:p>
        </w:tc>
        <w:tc>
          <w:tcPr>
            <w:tcW w:type="dxa" w:w="7056"/>
            <w:tcMar>
              <w:top w:w="80" w:type="dxa"/>
              <w:start w:w="90" w:type="dxa"/>
              <w:bottom w:w="80" w:type="dxa"/>
              <w:end w:w="90" w:type="dxa"/>
            </w:tcMar>
            <w:vAlign w:val="top"/>
          </w:tcPr>
          <w:p>
            <w:pPr>
              <w:spacing w:after="0"/>
            </w:pPr>
            <w:r>
              <w:rPr>
                <w:color w:val="1F2933"/>
                <w:sz w:val="17"/>
              </w:rPr>
              <w:t>Add strategies, features, services, ML or HA only when measured value justifies complexity.</w:t>
            </w:r>
          </w:p>
        </w:tc>
      </w:tr>
      <w:tr>
        <w:trPr>
          <w:cantSplit/>
        </w:trPr>
        <w:tc>
          <w:tcPr>
            <w:tcW w:type="dxa" w:w="2448"/>
            <w:tcMar>
              <w:top w:w="80" w:type="dxa"/>
              <w:start w:w="90" w:type="dxa"/>
              <w:bottom w:w="80" w:type="dxa"/>
              <w:end w:w="90" w:type="dxa"/>
            </w:tcMar>
            <w:shd w:fill="F7F9FB"/>
            <w:vAlign w:val="top"/>
          </w:tcPr>
          <w:p>
            <w:pPr>
              <w:spacing w:after="0"/>
            </w:pPr>
            <w:r>
              <w:rPr>
                <w:color w:val="1F2933"/>
                <w:sz w:val="17"/>
              </w:rPr>
              <w:t>Architecture stable; intelligence expandable</w:t>
            </w:r>
          </w:p>
        </w:tc>
        <w:tc>
          <w:tcPr>
            <w:tcW w:type="dxa" w:w="7056"/>
            <w:tcMar>
              <w:top w:w="80" w:type="dxa"/>
              <w:start w:w="90" w:type="dxa"/>
              <w:bottom w:w="80" w:type="dxa"/>
              <w:end w:w="90" w:type="dxa"/>
            </w:tcMar>
            <w:shd w:fill="F7F9FB"/>
            <w:vAlign w:val="top"/>
          </w:tcPr>
          <w:p>
            <w:pPr>
              <w:spacing w:after="0"/>
            </w:pPr>
            <w:r>
              <w:rPr>
                <w:color w:val="1F2933"/>
                <w:sz w:val="17"/>
              </w:rPr>
              <w:t>Freeze contracts/state machines/safety boundaries, not trading hypotheses or feature choices.</w:t>
            </w:r>
          </w:p>
        </w:tc>
      </w:tr>
    </w:tbl>
    <w:p>
      <w:pPr>
        <w:spacing w:after="0"/>
      </w:pPr>
    </w:p>
    <w:p>
      <w:r>
        <w:br w:type="page"/>
      </w:r>
    </w:p>
    <w:p>
      <w:pPr>
        <w:pStyle w:val="Heading1"/>
      </w:pPr>
      <w:r>
        <w:t>3. High-Level Architecture (HLD)</w:t>
      </w:r>
    </w:p>
    <w:p>
      <w:r>
        <w:t>The platform is organized as logical planes. These are architectural boundaries, not necessarily separate microservices. In V1 the latency-critical path should remain in one process where practical.</w:t>
      </w:r>
    </w:p>
    <w:p>
      <w:pPr>
        <w:jc w:val="center"/>
      </w:pPr>
      <w:r>
        <w:drawing>
          <wp:inline xmlns:a="http://schemas.openxmlformats.org/drawingml/2006/main" xmlns:pic="http://schemas.openxmlformats.org/drawingml/2006/picture">
            <wp:extent cx="6172200" cy="2307599"/>
            <wp:docPr id="1" name="Picture 1"/>
            <wp:cNvGraphicFramePr>
              <a:graphicFrameLocks noChangeAspect="1"/>
            </wp:cNvGraphicFramePr>
            <a:graphic>
              <a:graphicData uri="http://schemas.openxmlformats.org/drawingml/2006/picture">
                <pic:pic>
                  <pic:nvPicPr>
                    <pic:cNvPr id="0" name="overall_hld.png"/>
                    <pic:cNvPicPr/>
                  </pic:nvPicPr>
                  <pic:blipFill>
                    <a:blip r:embed="rId11"/>
                    <a:stretch>
                      <a:fillRect/>
                    </a:stretch>
                  </pic:blipFill>
                  <pic:spPr>
                    <a:xfrm>
                      <a:off x="0" y="0"/>
                      <a:ext cx="6172200" cy="2307599"/>
                    </a:xfrm>
                    <a:prstGeom prst="rect"/>
                  </pic:spPr>
                </pic:pic>
              </a:graphicData>
            </a:graphic>
          </wp:inline>
        </w:drawing>
      </w:r>
    </w:p>
    <w:p>
      <w:pPr>
        <w:spacing w:after="120"/>
        <w:jc w:val="center"/>
      </w:pPr>
      <w:r>
        <w:rPr>
          <w:i/>
          <w:color w:val="5A6670"/>
          <w:sz w:val="17"/>
        </w:rPr>
        <w:t>Figure 1 — Overall platform HLD: data/state → intelligence/decision → capital/risk/safety → execution, surrounded by control, operations and research.</w:t>
      </w:r>
    </w:p>
    <w:p>
      <w:pPr>
        <w:pStyle w:val="Heading2"/>
      </w:pPr>
      <w:r>
        <w:t>Logical planes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7365D"/>
            <w:tcMar>
              <w:top w:w="80" w:type="dxa"/>
              <w:start w:w="90" w:type="dxa"/>
              <w:bottom w:w="80" w:type="dxa"/>
              <w:end w:w="90" w:type="dxa"/>
            </w:tcMar>
            <w:vAlign w:val="center"/>
          </w:tcPr>
          <w:p>
            <w:pPr>
              <w:jc w:val="center"/>
            </w:pPr>
            <w:r>
              <w:rPr>
                <w:b/>
                <w:color w:val="FFFFFF"/>
                <w:sz w:val="16"/>
              </w:rPr>
              <w:t>Plane</w:t>
            </w:r>
          </w:p>
        </w:tc>
        <w:tc>
          <w:tcPr>
            <w:tcW w:type="dxa" w:w="7344"/>
            <w:shd w:fill="17365D"/>
            <w:tcMar>
              <w:top w:w="80" w:type="dxa"/>
              <w:start w:w="90" w:type="dxa"/>
              <w:bottom w:w="80" w:type="dxa"/>
              <w:end w:w="90" w:type="dxa"/>
            </w:tcMar>
            <w:vAlign w:val="center"/>
          </w:tcPr>
          <w:p>
            <w:pPr>
              <w:jc w:val="center"/>
            </w:pPr>
            <w:r>
              <w:rPr>
                <w:b/>
                <w:color w:val="FFFFFF"/>
                <w:sz w:val="16"/>
              </w:rPr>
              <w:t>Owns</w:t>
            </w:r>
          </w:p>
        </w:tc>
      </w:tr>
      <w:tr>
        <w:trPr>
          <w:cantSplit/>
        </w:trPr>
        <w:tc>
          <w:tcPr>
            <w:tcW w:type="dxa" w:w="2160"/>
            <w:tcMar>
              <w:top w:w="80" w:type="dxa"/>
              <w:start w:w="90" w:type="dxa"/>
              <w:bottom w:w="80" w:type="dxa"/>
              <w:end w:w="90" w:type="dxa"/>
            </w:tcMar>
            <w:vAlign w:val="top"/>
          </w:tcPr>
          <w:p>
            <w:pPr>
              <w:spacing w:after="0"/>
            </w:pPr>
            <w:r>
              <w:rPr>
                <w:color w:val="1F2933"/>
                <w:sz w:val="16"/>
              </w:rPr>
              <w:t>Data + State</w:t>
            </w:r>
          </w:p>
        </w:tc>
        <w:tc>
          <w:tcPr>
            <w:tcW w:type="dxa" w:w="7344"/>
            <w:tcMar>
              <w:top w:w="80" w:type="dxa"/>
              <w:start w:w="90" w:type="dxa"/>
              <w:bottom w:w="80" w:type="dxa"/>
              <w:end w:w="90" w:type="dxa"/>
            </w:tcMar>
            <w:vAlign w:val="top"/>
          </w:tcPr>
          <w:p>
            <w:pPr>
              <w:spacing w:after="0"/>
            </w:pPr>
            <w:r>
              <w:rPr>
                <w:color w:val="1F2933"/>
                <w:sz w:val="16"/>
              </w:rPr>
              <w:t>Adapters, event envelope, normalization, quality, freshness, watermark, reference data, raw recording, canonical market and option state.</w:t>
            </w:r>
          </w:p>
        </w:tc>
      </w:tr>
      <w:tr>
        <w:trPr>
          <w:cantSplit/>
        </w:trPr>
        <w:tc>
          <w:tcPr>
            <w:tcW w:type="dxa" w:w="2160"/>
            <w:tcMar>
              <w:top w:w="80" w:type="dxa"/>
              <w:start w:w="90" w:type="dxa"/>
              <w:bottom w:w="80" w:type="dxa"/>
              <w:end w:w="90" w:type="dxa"/>
            </w:tcMar>
            <w:shd w:fill="F7F9FB"/>
            <w:vAlign w:val="top"/>
          </w:tcPr>
          <w:p>
            <w:pPr>
              <w:spacing w:after="0"/>
            </w:pPr>
            <w:r>
              <w:rPr>
                <w:color w:val="1F2933"/>
                <w:sz w:val="16"/>
              </w:rPr>
              <w:t>Intelligence</w:t>
            </w:r>
          </w:p>
        </w:tc>
        <w:tc>
          <w:tcPr>
            <w:tcW w:type="dxa" w:w="7344"/>
            <w:tcMar>
              <w:top w:w="80" w:type="dxa"/>
              <w:start w:w="90" w:type="dxa"/>
              <w:bottom w:w="80" w:type="dxa"/>
              <w:end w:w="90" w:type="dxa"/>
            </w:tcMar>
            <w:shd w:fill="F7F9FB"/>
            <w:vAlign w:val="top"/>
          </w:tcPr>
          <w:p>
            <w:pPr>
              <w:spacing w:after="0"/>
            </w:pPr>
            <w:r>
              <w:rPr>
                <w:color w:val="1F2933"/>
                <w:sz w:val="16"/>
              </w:rPr>
              <w:t>Incremental features, market structure, swings/SR, volatility, OI/IV/Greeks, time-of-day, events, regimes and cross-market state.</w:t>
            </w:r>
          </w:p>
        </w:tc>
      </w:tr>
      <w:tr>
        <w:trPr>
          <w:cantSplit/>
        </w:trPr>
        <w:tc>
          <w:tcPr>
            <w:tcW w:type="dxa" w:w="2160"/>
            <w:tcMar>
              <w:top w:w="80" w:type="dxa"/>
              <w:start w:w="90" w:type="dxa"/>
              <w:bottom w:w="80" w:type="dxa"/>
              <w:end w:w="90" w:type="dxa"/>
            </w:tcMar>
            <w:vAlign w:val="top"/>
          </w:tcPr>
          <w:p>
            <w:pPr>
              <w:spacing w:after="0"/>
            </w:pPr>
            <w:r>
              <w:rPr>
                <w:color w:val="1F2933"/>
                <w:sz w:val="16"/>
              </w:rPr>
              <w:t>Decision</w:t>
            </w:r>
          </w:p>
        </w:tc>
        <w:tc>
          <w:tcPr>
            <w:tcW w:type="dxa" w:w="7344"/>
            <w:tcMar>
              <w:top w:w="80" w:type="dxa"/>
              <w:start w:w="90" w:type="dxa"/>
              <w:bottom w:w="80" w:type="dxa"/>
              <w:end w:w="90" w:type="dxa"/>
            </w:tcMar>
            <w:vAlign w:val="top"/>
          </w:tcPr>
          <w:p>
            <w:pPr>
              <w:spacing w:after="0"/>
            </w:pPr>
            <w:r>
              <w:rPr>
                <w:color w:val="1F2933"/>
                <w:sz w:val="16"/>
              </w:rPr>
              <w:t>Strategies, ensemble/conflict resolution, opportunity/uncertainty, expected value, option intelligence and global opportunity ranking.</w:t>
            </w:r>
          </w:p>
        </w:tc>
      </w:tr>
      <w:tr>
        <w:trPr>
          <w:cantSplit/>
        </w:trPr>
        <w:tc>
          <w:tcPr>
            <w:tcW w:type="dxa" w:w="2160"/>
            <w:tcMar>
              <w:top w:w="80" w:type="dxa"/>
              <w:start w:w="90" w:type="dxa"/>
              <w:bottom w:w="80" w:type="dxa"/>
              <w:end w:w="90" w:type="dxa"/>
            </w:tcMar>
            <w:shd w:fill="F7F9FB"/>
            <w:vAlign w:val="top"/>
          </w:tcPr>
          <w:p>
            <w:pPr>
              <w:spacing w:after="0"/>
            </w:pPr>
            <w:r>
              <w:rPr>
                <w:color w:val="1F2933"/>
                <w:sz w:val="16"/>
              </w:rPr>
              <w:t>Capital + Risk + Safety</w:t>
            </w:r>
          </w:p>
        </w:tc>
        <w:tc>
          <w:tcPr>
            <w:tcW w:type="dxa" w:w="7344"/>
            <w:tcMar>
              <w:top w:w="80" w:type="dxa"/>
              <w:start w:w="90" w:type="dxa"/>
              <w:bottom w:w="80" w:type="dxa"/>
              <w:end w:w="90" w:type="dxa"/>
            </w:tcMar>
            <w:shd w:fill="F7F9FB"/>
            <w:vAlign w:val="top"/>
          </w:tcPr>
          <w:p>
            <w:pPr>
              <w:spacing w:after="0"/>
            </w:pPr>
            <w:r>
              <w:rPr>
                <w:color w:val="1F2933"/>
                <w:sz w:val="16"/>
              </w:rPr>
              <w:t>Capital budget, portfolio exposure, correlation/Greeks, risk decision, hard safety kernel and kill-switch hierarchy.</w:t>
            </w:r>
          </w:p>
        </w:tc>
      </w:tr>
      <w:tr>
        <w:trPr>
          <w:cantSplit/>
        </w:trPr>
        <w:tc>
          <w:tcPr>
            <w:tcW w:type="dxa" w:w="2160"/>
            <w:tcMar>
              <w:top w:w="80" w:type="dxa"/>
              <w:start w:w="90" w:type="dxa"/>
              <w:bottom w:w="80" w:type="dxa"/>
              <w:end w:w="90" w:type="dxa"/>
            </w:tcMar>
            <w:vAlign w:val="top"/>
          </w:tcPr>
          <w:p>
            <w:pPr>
              <w:spacing w:after="0"/>
            </w:pPr>
            <w:r>
              <w:rPr>
                <w:color w:val="1F2933"/>
                <w:sz w:val="16"/>
              </w:rPr>
              <w:t>Execution</w:t>
            </w:r>
          </w:p>
        </w:tc>
        <w:tc>
          <w:tcPr>
            <w:tcW w:type="dxa" w:w="7344"/>
            <w:tcMar>
              <w:top w:w="80" w:type="dxa"/>
              <w:start w:w="90" w:type="dxa"/>
              <w:bottom w:w="80" w:type="dxa"/>
              <w:end w:w="90" w:type="dxa"/>
            </w:tcMar>
            <w:vAlign w:val="top"/>
          </w:tcPr>
          <w:p>
            <w:pPr>
              <w:spacing w:after="0"/>
            </w:pPr>
            <w:r>
              <w:rPr>
                <w:color w:val="1F2933"/>
                <w:sz w:val="16"/>
              </w:rPr>
              <w:t>Pre-send validation, regulatory/API scheduling, order state machine, fills, positions, reconciliation and transaction-cost analysis.</w:t>
            </w:r>
          </w:p>
        </w:tc>
      </w:tr>
      <w:tr>
        <w:trPr>
          <w:cantSplit/>
        </w:trPr>
        <w:tc>
          <w:tcPr>
            <w:tcW w:type="dxa" w:w="2160"/>
            <w:tcMar>
              <w:top w:w="80" w:type="dxa"/>
              <w:start w:w="90" w:type="dxa"/>
              <w:bottom w:w="80" w:type="dxa"/>
              <w:end w:w="90" w:type="dxa"/>
            </w:tcMar>
            <w:shd w:fill="F7F9FB"/>
            <w:vAlign w:val="top"/>
          </w:tcPr>
          <w:p>
            <w:pPr>
              <w:spacing w:after="0"/>
            </w:pPr>
            <w:r>
              <w:rPr>
                <w:color w:val="1F2933"/>
                <w:sz w:val="16"/>
              </w:rPr>
              <w:t>Control + Operations</w:t>
            </w:r>
          </w:p>
        </w:tc>
        <w:tc>
          <w:tcPr>
            <w:tcW w:type="dxa" w:w="7344"/>
            <w:tcMar>
              <w:top w:w="80" w:type="dxa"/>
              <w:start w:w="90" w:type="dxa"/>
              <w:bottom w:w="80" w:type="dxa"/>
              <w:end w:w="90" w:type="dxa"/>
            </w:tcMar>
            <w:shd w:fill="F7F9FB"/>
            <w:vAlign w:val="top"/>
          </w:tcPr>
          <w:p>
            <w:pPr>
              <w:spacing w:after="0"/>
            </w:pPr>
            <w:r>
              <w:rPr>
                <w:color w:val="1F2933"/>
                <w:sz w:val="16"/>
              </w:rPr>
              <w:t>Config/version authority, environment, ARM/DISARM, releases, audit, observability, recovery, credentials, compliance and security.</w:t>
            </w:r>
          </w:p>
        </w:tc>
      </w:tr>
      <w:tr>
        <w:trPr>
          <w:cantSplit/>
        </w:trPr>
        <w:tc>
          <w:tcPr>
            <w:tcW w:type="dxa" w:w="2160"/>
            <w:tcMar>
              <w:top w:w="80" w:type="dxa"/>
              <w:start w:w="90" w:type="dxa"/>
              <w:bottom w:w="80" w:type="dxa"/>
              <w:end w:w="90" w:type="dxa"/>
            </w:tcMar>
            <w:vAlign w:val="top"/>
          </w:tcPr>
          <w:p>
            <w:pPr>
              <w:spacing w:after="0"/>
            </w:pPr>
            <w:r>
              <w:rPr>
                <w:color w:val="1F2933"/>
                <w:sz w:val="16"/>
              </w:rPr>
              <w:t>Research + Learning</w:t>
            </w:r>
          </w:p>
        </w:tc>
        <w:tc>
          <w:tcPr>
            <w:tcW w:type="dxa" w:w="7344"/>
            <w:tcMar>
              <w:top w:w="80" w:type="dxa"/>
              <w:start w:w="90" w:type="dxa"/>
              <w:bottom w:w="80" w:type="dxa"/>
              <w:end w:w="90" w:type="dxa"/>
            </w:tcMar>
            <w:vAlign w:val="top"/>
          </w:tcPr>
          <w:p>
            <w:pPr>
              <w:spacing w:after="0"/>
            </w:pPr>
            <w:r>
              <w:rPr>
                <w:color w:val="1F2933"/>
                <w:sz w:val="16"/>
              </w:rPr>
              <w:t>Experiments, backtests, walk-forward, holdout, replay, paper, shadow, counterfactual analysis, TCA and champion/challenger evaluation.</w:t>
            </w:r>
          </w:p>
        </w:tc>
      </w:tr>
    </w:tbl>
    <w:p>
      <w:pPr>
        <w:spacing w:after="0"/>
      </w:pPr>
    </w:p>
    <w:p>
      <w:r>
        <w:br w:type="page"/>
      </w:r>
    </w:p>
    <w:p>
      <w:pPr>
        <w:pStyle w:val="Heading1"/>
      </w:pPr>
      <w:r>
        <w:t>4. Real-Time Parallel Market Scanning</w:t>
      </w:r>
    </w:p>
    <w:p>
      <w:r>
        <w:t>The runtime does not finish NIFTY analysis and then move to BANKNIFTY and SENSEX. It maintains all monitored markets continuously, updates only affected state/features, evaluates CE and PE candidates in parallel, then sends the best risk-adjusted opportunities to one centralized portfolio/risk brain.</w:t>
      </w:r>
    </w:p>
    <w:p>
      <w:pPr>
        <w:jc w:val="center"/>
      </w:pPr>
      <w:r>
        <w:drawing>
          <wp:inline xmlns:a="http://schemas.openxmlformats.org/drawingml/2006/main" xmlns:pic="http://schemas.openxmlformats.org/drawingml/2006/picture">
            <wp:extent cx="4892040" cy="4371148"/>
            <wp:docPr id="2" name="Picture 2"/>
            <wp:cNvGraphicFramePr>
              <a:graphicFrameLocks noChangeAspect="1"/>
            </wp:cNvGraphicFramePr>
            <a:graphic>
              <a:graphicData uri="http://schemas.openxmlformats.org/drawingml/2006/picture">
                <pic:pic>
                  <pic:nvPicPr>
                    <pic:cNvPr id="0" name="parallel_scanner.png"/>
                    <pic:cNvPicPr/>
                  </pic:nvPicPr>
                  <pic:blipFill>
                    <a:blip r:embed="rId12"/>
                    <a:stretch>
                      <a:fillRect/>
                    </a:stretch>
                  </pic:blipFill>
                  <pic:spPr>
                    <a:xfrm>
                      <a:off x="0" y="0"/>
                      <a:ext cx="4892040" cy="4371148"/>
                    </a:xfrm>
                    <a:prstGeom prst="rect"/>
                  </pic:spPr>
                </pic:pic>
              </a:graphicData>
            </a:graphic>
          </wp:inline>
        </w:drawing>
      </w:r>
    </w:p>
    <w:p>
      <w:pPr>
        <w:spacing w:after="120"/>
        <w:jc w:val="center"/>
      </w:pPr>
      <w:r>
        <w:rPr>
          <w:i/>
          <w:color w:val="5A6670"/>
          <w:sz w:val="17"/>
        </w:rPr>
        <w:t>Figure 2 — Parallel intelligence across NIFTY, BANKNIFTY and SENSEX with centralized opportunity ranking and risk.</w:t>
      </w:r>
    </w:p>
    <w:p>
      <w:pPr>
        <w:pStyle w:val="Heading2"/>
      </w:pPr>
      <w:r>
        <w:t>RealTimeUniverseScanner</w:t>
      </w:r>
    </w:p>
    <w:p>
      <w:pPr>
        <w:pStyle w:val="ListBullet"/>
        <w:spacing w:after="40"/>
      </w:pPr>
      <w:r>
        <w:t>Maintains current multi-timeframe state for each index.</w:t>
      </w:r>
    </w:p>
    <w:p>
      <w:pPr>
        <w:pStyle w:val="ListBullet"/>
        <w:spacing w:after="40"/>
      </w:pPr>
      <w:r>
        <w:t>Maintains bullish and bearish opportunity context without assuming direction first.</w:t>
      </w:r>
    </w:p>
    <w:p>
      <w:pPr>
        <w:pStyle w:val="ListBullet"/>
        <w:spacing w:after="40"/>
      </w:pPr>
      <w:r>
        <w:t>Tracks a dynamically reduced option universe: relevant expiries, strike windows, delta/moneyness ranges and liquidity constraints.</w:t>
      </w:r>
    </w:p>
    <w:p>
      <w:pPr>
        <w:pStyle w:val="ListBullet"/>
        <w:spacing w:after="40"/>
      </w:pPr>
      <w:r>
        <w:t>Publishes MarketOpportunitySnapshot updates only when relevant state changes.</w:t>
      </w:r>
    </w:p>
    <w:p>
      <w:pPr>
        <w:pStyle w:val="ListBullet"/>
        <w:spacing w:after="40"/>
      </w:pPr>
      <w:r>
        <w:t>Separates data confidence from signal confidence and can mark a market temporarily untradable.</w:t>
      </w:r>
    </w:p>
    <w:p>
      <w:pPr>
        <w:pStyle w:val="Heading2"/>
      </w:pPr>
      <w:r>
        <w:t>GlobalOpportunityRanker</w:t>
      </w:r>
    </w:p>
    <w:p>
      <w:r>
        <w:t>The ranker compares candidates across indices and option sides. It does not simply select the largest signal score. It considers expected remaining move, move already travelled, regime compatibility, option response, IV/theta, spread/slippage, liquidity, expiry/time-of-day, current portfolio, correlation and confidence. A globally strong signal may still be rejected if all available options have poor economics.</w:t>
      </w:r>
    </w:p>
    <w:p>
      <w:r>
        <w:br w:type="page"/>
      </w:r>
    </w:p>
    <w:p>
      <w:pPr>
        <w:pStyle w:val="Heading1"/>
      </w:pPr>
      <w:r>
        <w:t>5. Low-Level Design — Core Components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232"/>
            <w:shd w:fill="17365D"/>
            <w:tcMar>
              <w:top w:w="80" w:type="dxa"/>
              <w:start w:w="90" w:type="dxa"/>
              <w:bottom w:w="80" w:type="dxa"/>
              <w:end w:w="90" w:type="dxa"/>
            </w:tcMar>
            <w:vAlign w:val="center"/>
          </w:tcPr>
          <w:p>
            <w:pPr>
              <w:jc w:val="center"/>
            </w:pPr>
            <w:r>
              <w:rPr>
                <w:b/>
                <w:color w:val="FFFFFF"/>
                <w:sz w:val="14"/>
              </w:rPr>
              <w:t>Component</w:t>
            </w:r>
          </w:p>
        </w:tc>
        <w:tc>
          <w:tcPr>
            <w:tcW w:type="dxa" w:w="2232"/>
            <w:shd w:fill="17365D"/>
            <w:tcMar>
              <w:top w:w="80" w:type="dxa"/>
              <w:start w:w="90" w:type="dxa"/>
              <w:bottom w:w="80" w:type="dxa"/>
              <w:end w:w="90" w:type="dxa"/>
            </w:tcMar>
            <w:vAlign w:val="center"/>
          </w:tcPr>
          <w:p>
            <w:pPr>
              <w:jc w:val="center"/>
            </w:pPr>
            <w:r>
              <w:rPr>
                <w:b/>
                <w:color w:val="FFFFFF"/>
                <w:sz w:val="14"/>
              </w:rPr>
              <w:t>Input</w:t>
            </w:r>
          </w:p>
        </w:tc>
        <w:tc>
          <w:tcPr>
            <w:tcW w:type="dxa" w:w="2304"/>
            <w:shd w:fill="17365D"/>
            <w:tcMar>
              <w:top w:w="80" w:type="dxa"/>
              <w:start w:w="90" w:type="dxa"/>
              <w:bottom w:w="80" w:type="dxa"/>
              <w:end w:w="90" w:type="dxa"/>
            </w:tcMar>
            <w:vAlign w:val="center"/>
          </w:tcPr>
          <w:p>
            <w:pPr>
              <w:jc w:val="center"/>
            </w:pPr>
            <w:r>
              <w:rPr>
                <w:b/>
                <w:color w:val="FFFFFF"/>
                <w:sz w:val="14"/>
              </w:rPr>
              <w:t>Output</w:t>
            </w:r>
          </w:p>
        </w:tc>
        <w:tc>
          <w:tcPr>
            <w:tcW w:type="dxa" w:w="1440"/>
            <w:shd w:fill="17365D"/>
            <w:tcMar>
              <w:top w:w="80" w:type="dxa"/>
              <w:start w:w="90" w:type="dxa"/>
              <w:bottom w:w="80" w:type="dxa"/>
              <w:end w:w="90" w:type="dxa"/>
            </w:tcMar>
            <w:vAlign w:val="center"/>
          </w:tcPr>
          <w:p>
            <w:pPr>
              <w:jc w:val="center"/>
            </w:pPr>
            <w:r>
              <w:rPr>
                <w:b/>
                <w:color w:val="FFFFFF"/>
                <w:sz w:val="14"/>
              </w:rPr>
              <w:t>State</w:t>
            </w:r>
          </w:p>
        </w:tc>
        <w:tc>
          <w:tcPr>
            <w:tcW w:type="dxa" w:w="1440"/>
            <w:shd w:fill="17365D"/>
            <w:tcMar>
              <w:top w:w="80" w:type="dxa"/>
              <w:start w:w="90" w:type="dxa"/>
              <w:bottom w:w="80" w:type="dxa"/>
              <w:end w:w="90" w:type="dxa"/>
            </w:tcMar>
            <w:vAlign w:val="center"/>
          </w:tcPr>
          <w:p>
            <w:pPr>
              <w:jc w:val="center"/>
            </w:pPr>
            <w:r>
              <w:rPr>
                <w:b/>
                <w:color w:val="FFFFFF"/>
                <w:sz w:val="14"/>
              </w:rPr>
              <w:t>Can transmit order?</w:t>
            </w:r>
          </w:p>
        </w:tc>
      </w:tr>
      <w:tr>
        <w:trPr>
          <w:cantSplit/>
        </w:trPr>
        <w:tc>
          <w:tcPr>
            <w:tcW w:type="dxa" w:w="2232"/>
            <w:tcMar>
              <w:top w:w="80" w:type="dxa"/>
              <w:start w:w="90" w:type="dxa"/>
              <w:bottom w:w="80" w:type="dxa"/>
              <w:end w:w="90" w:type="dxa"/>
            </w:tcMar>
            <w:vAlign w:val="top"/>
          </w:tcPr>
          <w:p>
            <w:pPr>
              <w:spacing w:after="0"/>
            </w:pPr>
            <w:r>
              <w:rPr>
                <w:color w:val="1F2933"/>
                <w:sz w:val="14"/>
              </w:rPr>
              <w:t>MarketDataAdapter</w:t>
            </w:r>
          </w:p>
        </w:tc>
        <w:tc>
          <w:tcPr>
            <w:tcW w:type="dxa" w:w="2232"/>
            <w:tcMar>
              <w:top w:w="80" w:type="dxa"/>
              <w:start w:w="90" w:type="dxa"/>
              <w:bottom w:w="80" w:type="dxa"/>
              <w:end w:w="90" w:type="dxa"/>
            </w:tcMar>
            <w:vAlign w:val="top"/>
          </w:tcPr>
          <w:p>
            <w:pPr>
              <w:spacing w:after="0"/>
            </w:pPr>
            <w:r>
              <w:rPr>
                <w:color w:val="1F2933"/>
                <w:sz w:val="14"/>
              </w:rPr>
              <w:t>Provider feed / subscriptions</w:t>
            </w:r>
          </w:p>
        </w:tc>
        <w:tc>
          <w:tcPr>
            <w:tcW w:type="dxa" w:w="2304"/>
            <w:tcMar>
              <w:top w:w="80" w:type="dxa"/>
              <w:start w:w="90" w:type="dxa"/>
              <w:bottom w:w="80" w:type="dxa"/>
              <w:end w:w="90" w:type="dxa"/>
            </w:tcMar>
            <w:vAlign w:val="top"/>
          </w:tcPr>
          <w:p>
            <w:pPr>
              <w:spacing w:after="0"/>
            </w:pPr>
            <w:r>
              <w:rPr>
                <w:color w:val="1F2933"/>
                <w:sz w:val="14"/>
              </w:rPr>
              <w:t>Canonical market events</w:t>
            </w:r>
          </w:p>
        </w:tc>
        <w:tc>
          <w:tcPr>
            <w:tcW w:type="dxa" w:w="1440"/>
            <w:tcMar>
              <w:top w:w="80" w:type="dxa"/>
              <w:start w:w="90" w:type="dxa"/>
              <w:bottom w:w="80" w:type="dxa"/>
              <w:end w:w="90" w:type="dxa"/>
            </w:tcMar>
            <w:vAlign w:val="top"/>
          </w:tcPr>
          <w:p>
            <w:pPr>
              <w:spacing w:after="0"/>
            </w:pPr>
            <w:r>
              <w:rPr>
                <w:color w:val="1F2933"/>
                <w:sz w:val="14"/>
              </w:rPr>
              <w:t>Connection/feed health</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ReferenceDataAdapter</w:t>
            </w:r>
          </w:p>
        </w:tc>
        <w:tc>
          <w:tcPr>
            <w:tcW w:type="dxa" w:w="2232"/>
            <w:tcMar>
              <w:top w:w="80" w:type="dxa"/>
              <w:start w:w="90" w:type="dxa"/>
              <w:bottom w:w="80" w:type="dxa"/>
              <w:end w:w="90" w:type="dxa"/>
            </w:tcMar>
            <w:shd w:fill="F7F9FB"/>
            <w:vAlign w:val="top"/>
          </w:tcPr>
          <w:p>
            <w:pPr>
              <w:spacing w:after="0"/>
            </w:pPr>
            <w:r>
              <w:rPr>
                <w:color w:val="1F2933"/>
                <w:sz w:val="14"/>
              </w:rPr>
              <w:t>Instrument/calendar source</w:t>
            </w:r>
          </w:p>
        </w:tc>
        <w:tc>
          <w:tcPr>
            <w:tcW w:type="dxa" w:w="2304"/>
            <w:tcMar>
              <w:top w:w="80" w:type="dxa"/>
              <w:start w:w="90" w:type="dxa"/>
              <w:bottom w:w="80" w:type="dxa"/>
              <w:end w:w="90" w:type="dxa"/>
            </w:tcMar>
            <w:shd w:fill="F7F9FB"/>
            <w:vAlign w:val="top"/>
          </w:tcPr>
          <w:p>
            <w:pPr>
              <w:spacing w:after="0"/>
            </w:pPr>
            <w:r>
              <w:rPr>
                <w:color w:val="1F2933"/>
                <w:sz w:val="14"/>
              </w:rPr>
              <w:t>Effective-dated reference records</w:t>
            </w:r>
          </w:p>
        </w:tc>
        <w:tc>
          <w:tcPr>
            <w:tcW w:type="dxa" w:w="1440"/>
            <w:tcMar>
              <w:top w:w="80" w:type="dxa"/>
              <w:start w:w="90" w:type="dxa"/>
              <w:bottom w:w="80" w:type="dxa"/>
              <w:end w:w="90" w:type="dxa"/>
            </w:tcMar>
            <w:shd w:fill="F7F9FB"/>
            <w:vAlign w:val="top"/>
          </w:tcPr>
          <w:p>
            <w:pPr>
              <w:spacing w:after="0"/>
            </w:pPr>
            <w:r>
              <w:rPr>
                <w:color w:val="1F2933"/>
                <w:sz w:val="14"/>
              </w:rPr>
              <w:t>Reference cache</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Normalizer</w:t>
            </w:r>
          </w:p>
        </w:tc>
        <w:tc>
          <w:tcPr>
            <w:tcW w:type="dxa" w:w="2232"/>
            <w:tcMar>
              <w:top w:w="80" w:type="dxa"/>
              <w:start w:w="90" w:type="dxa"/>
              <w:bottom w:w="80" w:type="dxa"/>
              <w:end w:w="90" w:type="dxa"/>
            </w:tcMar>
            <w:vAlign w:val="top"/>
          </w:tcPr>
          <w:p>
            <w:pPr>
              <w:spacing w:after="0"/>
            </w:pPr>
            <w:r>
              <w:rPr>
                <w:color w:val="1F2933"/>
                <w:sz w:val="14"/>
              </w:rPr>
              <w:t>Provider events</w:t>
            </w:r>
          </w:p>
        </w:tc>
        <w:tc>
          <w:tcPr>
            <w:tcW w:type="dxa" w:w="2304"/>
            <w:tcMar>
              <w:top w:w="80" w:type="dxa"/>
              <w:start w:w="90" w:type="dxa"/>
              <w:bottom w:w="80" w:type="dxa"/>
              <w:end w:w="90" w:type="dxa"/>
            </w:tcMar>
            <w:vAlign w:val="top"/>
          </w:tcPr>
          <w:p>
            <w:pPr>
              <w:spacing w:after="0"/>
            </w:pPr>
            <w:r>
              <w:rPr>
                <w:color w:val="1F2933"/>
                <w:sz w:val="14"/>
              </w:rPr>
              <w:t>Canonical event envelope</w:t>
            </w:r>
          </w:p>
        </w:tc>
        <w:tc>
          <w:tcPr>
            <w:tcW w:type="dxa" w:w="1440"/>
            <w:tcMar>
              <w:top w:w="80" w:type="dxa"/>
              <w:start w:w="90" w:type="dxa"/>
              <w:bottom w:w="80" w:type="dxa"/>
              <w:end w:w="90" w:type="dxa"/>
            </w:tcMar>
            <w:vAlign w:val="top"/>
          </w:tcPr>
          <w:p>
            <w:pPr>
              <w:spacing w:after="0"/>
            </w:pPr>
            <w:r>
              <w:rPr>
                <w:color w:val="1F2933"/>
                <w:sz w:val="14"/>
              </w:rPr>
              <w:t>Minimal mapping</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DataQualityEngine</w:t>
            </w:r>
          </w:p>
        </w:tc>
        <w:tc>
          <w:tcPr>
            <w:tcW w:type="dxa" w:w="2232"/>
            <w:tcMar>
              <w:top w:w="80" w:type="dxa"/>
              <w:start w:w="90" w:type="dxa"/>
              <w:bottom w:w="80" w:type="dxa"/>
              <w:end w:w="90" w:type="dxa"/>
            </w:tcMar>
            <w:shd w:fill="F7F9FB"/>
            <w:vAlign w:val="top"/>
          </w:tcPr>
          <w:p>
            <w:pPr>
              <w:spacing w:after="0"/>
            </w:pPr>
            <w:r>
              <w:rPr>
                <w:color w:val="1F2933"/>
                <w:sz w:val="14"/>
              </w:rPr>
              <w:t>Canonical events</w:t>
            </w:r>
          </w:p>
        </w:tc>
        <w:tc>
          <w:tcPr>
            <w:tcW w:type="dxa" w:w="2304"/>
            <w:tcMar>
              <w:top w:w="80" w:type="dxa"/>
              <w:start w:w="90" w:type="dxa"/>
              <w:bottom w:w="80" w:type="dxa"/>
              <w:end w:w="90" w:type="dxa"/>
            </w:tcMar>
            <w:shd w:fill="F7F9FB"/>
            <w:vAlign w:val="top"/>
          </w:tcPr>
          <w:p>
            <w:pPr>
              <w:spacing w:after="0"/>
            </w:pPr>
            <w:r>
              <w:rPr>
                <w:color w:val="1F2933"/>
                <w:sz w:val="14"/>
              </w:rPr>
              <w:t>Quality verdict + reason codes</w:t>
            </w:r>
          </w:p>
        </w:tc>
        <w:tc>
          <w:tcPr>
            <w:tcW w:type="dxa" w:w="1440"/>
            <w:tcMar>
              <w:top w:w="80" w:type="dxa"/>
              <w:start w:w="90" w:type="dxa"/>
              <w:bottom w:w="80" w:type="dxa"/>
              <w:end w:w="90" w:type="dxa"/>
            </w:tcMar>
            <w:shd w:fill="F7F9FB"/>
            <w:vAlign w:val="top"/>
          </w:tcPr>
          <w:p>
            <w:pPr>
              <w:spacing w:after="0"/>
            </w:pPr>
            <w:r>
              <w:rPr>
                <w:color w:val="1F2933"/>
                <w:sz w:val="14"/>
              </w:rPr>
              <w:t>Quality state</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WatermarkEngine</w:t>
            </w:r>
          </w:p>
        </w:tc>
        <w:tc>
          <w:tcPr>
            <w:tcW w:type="dxa" w:w="2232"/>
            <w:tcMar>
              <w:top w:w="80" w:type="dxa"/>
              <w:start w:w="90" w:type="dxa"/>
              <w:bottom w:w="80" w:type="dxa"/>
              <w:end w:w="90" w:type="dxa"/>
            </w:tcMar>
            <w:vAlign w:val="top"/>
          </w:tcPr>
          <w:p>
            <w:pPr>
              <w:spacing w:after="0"/>
            </w:pPr>
            <w:r>
              <w:rPr>
                <w:color w:val="1F2933"/>
                <w:sz w:val="14"/>
              </w:rPr>
              <w:t>Timestamped market state</w:t>
            </w:r>
          </w:p>
        </w:tc>
        <w:tc>
          <w:tcPr>
            <w:tcW w:type="dxa" w:w="2304"/>
            <w:tcMar>
              <w:top w:w="80" w:type="dxa"/>
              <w:start w:w="90" w:type="dxa"/>
              <w:bottom w:w="80" w:type="dxa"/>
              <w:end w:w="90" w:type="dxa"/>
            </w:tcMar>
            <w:vAlign w:val="top"/>
          </w:tcPr>
          <w:p>
            <w:pPr>
              <w:spacing w:after="0"/>
            </w:pPr>
            <w:r>
              <w:rPr>
                <w:color w:val="1F2933"/>
                <w:sz w:val="14"/>
              </w:rPr>
              <w:t>Freshness/completeness state</w:t>
            </w:r>
          </w:p>
        </w:tc>
        <w:tc>
          <w:tcPr>
            <w:tcW w:type="dxa" w:w="1440"/>
            <w:tcMar>
              <w:top w:w="80" w:type="dxa"/>
              <w:start w:w="90" w:type="dxa"/>
              <w:bottom w:w="80" w:type="dxa"/>
              <w:end w:w="90" w:type="dxa"/>
            </w:tcMar>
            <w:vAlign w:val="top"/>
          </w:tcPr>
          <w:p>
            <w:pPr>
              <w:spacing w:after="0"/>
            </w:pPr>
            <w:r>
              <w:rPr>
                <w:color w:val="1F2933"/>
                <w:sz w:val="14"/>
              </w:rPr>
              <w:t>Yes</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MarketStateEngine</w:t>
            </w:r>
          </w:p>
        </w:tc>
        <w:tc>
          <w:tcPr>
            <w:tcW w:type="dxa" w:w="2232"/>
            <w:tcMar>
              <w:top w:w="80" w:type="dxa"/>
              <w:start w:w="90" w:type="dxa"/>
              <w:bottom w:w="80" w:type="dxa"/>
              <w:end w:w="90" w:type="dxa"/>
            </w:tcMar>
            <w:shd w:fill="F7F9FB"/>
            <w:vAlign w:val="top"/>
          </w:tcPr>
          <w:p>
            <w:pPr>
              <w:spacing w:after="0"/>
            </w:pPr>
            <w:r>
              <w:rPr>
                <w:color w:val="1F2933"/>
                <w:sz w:val="14"/>
              </w:rPr>
              <w:t>Validated events</w:t>
            </w:r>
          </w:p>
        </w:tc>
        <w:tc>
          <w:tcPr>
            <w:tcW w:type="dxa" w:w="2304"/>
            <w:tcMar>
              <w:top w:w="80" w:type="dxa"/>
              <w:start w:w="90" w:type="dxa"/>
              <w:bottom w:w="80" w:type="dxa"/>
              <w:end w:w="90" w:type="dxa"/>
            </w:tcMar>
            <w:shd w:fill="F7F9FB"/>
            <w:vAlign w:val="top"/>
          </w:tcPr>
          <w:p>
            <w:pPr>
              <w:spacing w:after="0"/>
            </w:pPr>
            <w:r>
              <w:rPr>
                <w:color w:val="1F2933"/>
                <w:sz w:val="14"/>
              </w:rPr>
              <w:t>Immutable-as-of snapshots</w:t>
            </w:r>
          </w:p>
        </w:tc>
        <w:tc>
          <w:tcPr>
            <w:tcW w:type="dxa" w:w="1440"/>
            <w:tcMar>
              <w:top w:w="80" w:type="dxa"/>
              <w:start w:w="90" w:type="dxa"/>
              <w:bottom w:w="80" w:type="dxa"/>
              <w:end w:w="90" w:type="dxa"/>
            </w:tcMar>
            <w:shd w:fill="F7F9FB"/>
            <w:vAlign w:val="top"/>
          </w:tcPr>
          <w:p>
            <w:pPr>
              <w:spacing w:after="0"/>
            </w:pPr>
            <w:r>
              <w:rPr>
                <w:color w:val="1F2933"/>
                <w:sz w:val="14"/>
              </w:rPr>
              <w:t>Hot state</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FeatureEngine</w:t>
            </w:r>
          </w:p>
        </w:tc>
        <w:tc>
          <w:tcPr>
            <w:tcW w:type="dxa" w:w="2232"/>
            <w:tcMar>
              <w:top w:w="80" w:type="dxa"/>
              <w:start w:w="90" w:type="dxa"/>
              <w:bottom w:w="80" w:type="dxa"/>
              <w:end w:w="90" w:type="dxa"/>
            </w:tcMar>
            <w:vAlign w:val="top"/>
          </w:tcPr>
          <w:p>
            <w:pPr>
              <w:spacing w:after="0"/>
            </w:pPr>
            <w:r>
              <w:rPr>
                <w:color w:val="1F2933"/>
                <w:sz w:val="14"/>
              </w:rPr>
              <w:t>Market state + dependency DAG</w:t>
            </w:r>
          </w:p>
        </w:tc>
        <w:tc>
          <w:tcPr>
            <w:tcW w:type="dxa" w:w="2304"/>
            <w:tcMar>
              <w:top w:w="80" w:type="dxa"/>
              <w:start w:w="90" w:type="dxa"/>
              <w:bottom w:w="80" w:type="dxa"/>
              <w:end w:w="90" w:type="dxa"/>
            </w:tcMar>
            <w:vAlign w:val="top"/>
          </w:tcPr>
          <w:p>
            <w:pPr>
              <w:spacing w:after="0"/>
            </w:pPr>
            <w:r>
              <w:rPr>
                <w:color w:val="1F2933"/>
                <w:sz w:val="14"/>
              </w:rPr>
              <w:t>FeatureVector</w:t>
            </w:r>
          </w:p>
        </w:tc>
        <w:tc>
          <w:tcPr>
            <w:tcW w:type="dxa" w:w="1440"/>
            <w:tcMar>
              <w:top w:w="80" w:type="dxa"/>
              <w:start w:w="90" w:type="dxa"/>
              <w:bottom w:w="80" w:type="dxa"/>
              <w:end w:w="90" w:type="dxa"/>
            </w:tcMar>
            <w:vAlign w:val="top"/>
          </w:tcPr>
          <w:p>
            <w:pPr>
              <w:spacing w:after="0"/>
            </w:pPr>
            <w:r>
              <w:rPr>
                <w:color w:val="1F2933"/>
                <w:sz w:val="14"/>
              </w:rPr>
              <w:t>Incremental caches</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Structure/Regime</w:t>
            </w:r>
          </w:p>
        </w:tc>
        <w:tc>
          <w:tcPr>
            <w:tcW w:type="dxa" w:w="2232"/>
            <w:tcMar>
              <w:top w:w="80" w:type="dxa"/>
              <w:start w:w="90" w:type="dxa"/>
              <w:bottom w:w="80" w:type="dxa"/>
              <w:end w:w="90" w:type="dxa"/>
            </w:tcMar>
            <w:shd w:fill="F7F9FB"/>
            <w:vAlign w:val="top"/>
          </w:tcPr>
          <w:p>
            <w:pPr>
              <w:spacing w:after="0"/>
            </w:pPr>
            <w:r>
              <w:rPr>
                <w:color w:val="1F2933"/>
                <w:sz w:val="14"/>
              </w:rPr>
              <w:t>Features + state</w:t>
            </w:r>
          </w:p>
        </w:tc>
        <w:tc>
          <w:tcPr>
            <w:tcW w:type="dxa" w:w="2304"/>
            <w:tcMar>
              <w:top w:w="80" w:type="dxa"/>
              <w:start w:w="90" w:type="dxa"/>
              <w:bottom w:w="80" w:type="dxa"/>
              <w:end w:w="90" w:type="dxa"/>
            </w:tcMar>
            <w:shd w:fill="F7F9FB"/>
            <w:vAlign w:val="top"/>
          </w:tcPr>
          <w:p>
            <w:pPr>
              <w:spacing w:after="0"/>
            </w:pPr>
            <w:r>
              <w:rPr>
                <w:color w:val="1F2933"/>
                <w:sz w:val="14"/>
              </w:rPr>
              <w:t>StructureState / RegimeState</w:t>
            </w:r>
          </w:p>
        </w:tc>
        <w:tc>
          <w:tcPr>
            <w:tcW w:type="dxa" w:w="1440"/>
            <w:tcMar>
              <w:top w:w="80" w:type="dxa"/>
              <w:start w:w="90" w:type="dxa"/>
              <w:bottom w:w="80" w:type="dxa"/>
              <w:end w:w="90" w:type="dxa"/>
            </w:tcMar>
            <w:shd w:fill="F7F9FB"/>
            <w:vAlign w:val="top"/>
          </w:tcPr>
          <w:p>
            <w:pPr>
              <w:spacing w:after="0"/>
            </w:pPr>
            <w:r>
              <w:rPr>
                <w:color w:val="1F2933"/>
                <w:sz w:val="14"/>
              </w:rPr>
              <w:t>Transition state</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StrategyEngine</w:t>
            </w:r>
          </w:p>
        </w:tc>
        <w:tc>
          <w:tcPr>
            <w:tcW w:type="dxa" w:w="2232"/>
            <w:tcMar>
              <w:top w:w="80" w:type="dxa"/>
              <w:start w:w="90" w:type="dxa"/>
              <w:bottom w:w="80" w:type="dxa"/>
              <w:end w:w="90" w:type="dxa"/>
            </w:tcMar>
            <w:vAlign w:val="top"/>
          </w:tcPr>
          <w:p>
            <w:pPr>
              <w:spacing w:after="0"/>
            </w:pPr>
            <w:r>
              <w:rPr>
                <w:color w:val="1F2933"/>
                <w:sz w:val="14"/>
              </w:rPr>
              <w:t>Decision context</w:t>
            </w:r>
          </w:p>
        </w:tc>
        <w:tc>
          <w:tcPr>
            <w:tcW w:type="dxa" w:w="2304"/>
            <w:tcMar>
              <w:top w:w="80" w:type="dxa"/>
              <w:start w:w="90" w:type="dxa"/>
              <w:bottom w:w="80" w:type="dxa"/>
              <w:end w:w="90" w:type="dxa"/>
            </w:tcMar>
            <w:vAlign w:val="top"/>
          </w:tcPr>
          <w:p>
            <w:pPr>
              <w:spacing w:after="0"/>
            </w:pPr>
            <w:r>
              <w:rPr>
                <w:color w:val="1F2933"/>
                <w:sz w:val="14"/>
              </w:rPr>
              <w:t>SignalCandidate(s)</w:t>
            </w:r>
          </w:p>
        </w:tc>
        <w:tc>
          <w:tcPr>
            <w:tcW w:type="dxa" w:w="1440"/>
            <w:tcMar>
              <w:top w:w="80" w:type="dxa"/>
              <w:start w:w="90" w:type="dxa"/>
              <w:bottom w:w="80" w:type="dxa"/>
              <w:end w:w="90" w:type="dxa"/>
            </w:tcMar>
            <w:vAlign w:val="top"/>
          </w:tcPr>
          <w:p>
            <w:pPr>
              <w:spacing w:after="0"/>
            </w:pPr>
            <w:r>
              <w:rPr>
                <w:color w:val="1F2933"/>
                <w:sz w:val="14"/>
              </w:rPr>
              <w:t>Strategy state</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EnsembleResolver</w:t>
            </w:r>
          </w:p>
        </w:tc>
        <w:tc>
          <w:tcPr>
            <w:tcW w:type="dxa" w:w="2232"/>
            <w:tcMar>
              <w:top w:w="80" w:type="dxa"/>
              <w:start w:w="90" w:type="dxa"/>
              <w:bottom w:w="80" w:type="dxa"/>
              <w:end w:w="90" w:type="dxa"/>
            </w:tcMar>
            <w:shd w:fill="F7F9FB"/>
            <w:vAlign w:val="top"/>
          </w:tcPr>
          <w:p>
            <w:pPr>
              <w:spacing w:after="0"/>
            </w:pPr>
            <w:r>
              <w:rPr>
                <w:color w:val="1F2933"/>
                <w:sz w:val="14"/>
              </w:rPr>
              <w:t>Signals + strategy health</w:t>
            </w:r>
          </w:p>
        </w:tc>
        <w:tc>
          <w:tcPr>
            <w:tcW w:type="dxa" w:w="2304"/>
            <w:tcMar>
              <w:top w:w="80" w:type="dxa"/>
              <w:start w:w="90" w:type="dxa"/>
              <w:bottom w:w="80" w:type="dxa"/>
              <w:end w:w="90" w:type="dxa"/>
            </w:tcMar>
            <w:shd w:fill="F7F9FB"/>
            <w:vAlign w:val="top"/>
          </w:tcPr>
          <w:p>
            <w:pPr>
              <w:spacing w:after="0"/>
            </w:pPr>
            <w:r>
              <w:rPr>
                <w:color w:val="1F2933"/>
                <w:sz w:val="14"/>
              </w:rPr>
              <w:t>Consolidated hypothesis</w:t>
            </w:r>
          </w:p>
        </w:tc>
        <w:tc>
          <w:tcPr>
            <w:tcW w:type="dxa" w:w="1440"/>
            <w:tcMar>
              <w:top w:w="80" w:type="dxa"/>
              <w:start w:w="90" w:type="dxa"/>
              <w:bottom w:w="80" w:type="dxa"/>
              <w:end w:w="90" w:type="dxa"/>
            </w:tcMar>
            <w:shd w:fill="F7F9FB"/>
            <w:vAlign w:val="top"/>
          </w:tcPr>
          <w:p>
            <w:pPr>
              <w:spacing w:after="0"/>
            </w:pPr>
            <w:r>
              <w:rPr>
                <w:color w:val="1F2933"/>
                <w:sz w:val="14"/>
              </w:rPr>
              <w:t>Weights/health</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OpportunityEngine</w:t>
            </w:r>
          </w:p>
        </w:tc>
        <w:tc>
          <w:tcPr>
            <w:tcW w:type="dxa" w:w="2232"/>
            <w:tcMar>
              <w:top w:w="80" w:type="dxa"/>
              <w:start w:w="90" w:type="dxa"/>
              <w:bottom w:w="80" w:type="dxa"/>
              <w:end w:w="90" w:type="dxa"/>
            </w:tcMar>
            <w:vAlign w:val="top"/>
          </w:tcPr>
          <w:p>
            <w:pPr>
              <w:spacing w:after="0"/>
            </w:pPr>
            <w:r>
              <w:rPr>
                <w:color w:val="1F2933"/>
                <w:sz w:val="14"/>
              </w:rPr>
              <w:t>Hypothesis + market state</w:t>
            </w:r>
          </w:p>
        </w:tc>
        <w:tc>
          <w:tcPr>
            <w:tcW w:type="dxa" w:w="2304"/>
            <w:tcMar>
              <w:top w:w="80" w:type="dxa"/>
              <w:start w:w="90" w:type="dxa"/>
              <w:bottom w:w="80" w:type="dxa"/>
              <w:end w:w="90" w:type="dxa"/>
            </w:tcMar>
            <w:vAlign w:val="top"/>
          </w:tcPr>
          <w:p>
            <w:pPr>
              <w:spacing w:after="0"/>
            </w:pPr>
            <w:r>
              <w:rPr>
                <w:color w:val="1F2933"/>
                <w:sz w:val="14"/>
              </w:rPr>
              <w:t>OpportunityDecision</w:t>
            </w:r>
          </w:p>
        </w:tc>
        <w:tc>
          <w:tcPr>
            <w:tcW w:type="dxa" w:w="1440"/>
            <w:tcMar>
              <w:top w:w="80" w:type="dxa"/>
              <w:start w:w="90" w:type="dxa"/>
              <w:bottom w:w="80" w:type="dxa"/>
              <w:end w:w="90" w:type="dxa"/>
            </w:tcMar>
            <w:vAlign w:val="top"/>
          </w:tcPr>
          <w:p>
            <w:pPr>
              <w:spacing w:after="0"/>
            </w:pPr>
            <w:r>
              <w:rPr>
                <w:color w:val="1F2933"/>
                <w:sz w:val="14"/>
              </w:rPr>
              <w:t>Move lifecycle</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OptionUniverseManager</w:t>
            </w:r>
          </w:p>
        </w:tc>
        <w:tc>
          <w:tcPr>
            <w:tcW w:type="dxa" w:w="2232"/>
            <w:tcMar>
              <w:top w:w="80" w:type="dxa"/>
              <w:start w:w="90" w:type="dxa"/>
              <w:bottom w:w="80" w:type="dxa"/>
              <w:end w:w="90" w:type="dxa"/>
            </w:tcMar>
            <w:shd w:fill="F7F9FB"/>
            <w:vAlign w:val="top"/>
          </w:tcPr>
          <w:p>
            <w:pPr>
              <w:spacing w:after="0"/>
            </w:pPr>
            <w:r>
              <w:rPr>
                <w:color w:val="1F2933"/>
                <w:sz w:val="14"/>
              </w:rPr>
              <w:t>Spot/expiry/liquidity state</w:t>
            </w:r>
          </w:p>
        </w:tc>
        <w:tc>
          <w:tcPr>
            <w:tcW w:type="dxa" w:w="2304"/>
            <w:tcMar>
              <w:top w:w="80" w:type="dxa"/>
              <w:start w:w="90" w:type="dxa"/>
              <w:bottom w:w="80" w:type="dxa"/>
              <w:end w:w="90" w:type="dxa"/>
            </w:tcMar>
            <w:shd w:fill="F7F9FB"/>
            <w:vAlign w:val="top"/>
          </w:tcPr>
          <w:p>
            <w:pPr>
              <w:spacing w:after="0"/>
            </w:pPr>
            <w:r>
              <w:rPr>
                <w:color w:val="1F2933"/>
                <w:sz w:val="14"/>
              </w:rPr>
              <w:t>Eligible contracts</w:t>
            </w:r>
          </w:p>
        </w:tc>
        <w:tc>
          <w:tcPr>
            <w:tcW w:type="dxa" w:w="1440"/>
            <w:tcMar>
              <w:top w:w="80" w:type="dxa"/>
              <w:start w:w="90" w:type="dxa"/>
              <w:bottom w:w="80" w:type="dxa"/>
              <w:end w:w="90" w:type="dxa"/>
            </w:tcMar>
            <w:shd w:fill="F7F9FB"/>
            <w:vAlign w:val="top"/>
          </w:tcPr>
          <w:p>
            <w:pPr>
              <w:spacing w:after="0"/>
            </w:pPr>
            <w:r>
              <w:rPr>
                <w:color w:val="1F2933"/>
                <w:sz w:val="14"/>
              </w:rPr>
              <w:t>Subscription universe</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OptionIntelligence</w:t>
            </w:r>
          </w:p>
        </w:tc>
        <w:tc>
          <w:tcPr>
            <w:tcW w:type="dxa" w:w="2232"/>
            <w:tcMar>
              <w:top w:w="80" w:type="dxa"/>
              <w:start w:w="90" w:type="dxa"/>
              <w:bottom w:w="80" w:type="dxa"/>
              <w:end w:w="90" w:type="dxa"/>
            </w:tcMar>
            <w:vAlign w:val="top"/>
          </w:tcPr>
          <w:p>
            <w:pPr>
              <w:spacing w:after="0"/>
            </w:pPr>
            <w:r>
              <w:rPr>
                <w:color w:val="1F2933"/>
                <w:sz w:val="14"/>
              </w:rPr>
              <w:t>Opportunity + chain</w:t>
            </w:r>
          </w:p>
        </w:tc>
        <w:tc>
          <w:tcPr>
            <w:tcW w:type="dxa" w:w="2304"/>
            <w:tcMar>
              <w:top w:w="80" w:type="dxa"/>
              <w:start w:w="90" w:type="dxa"/>
              <w:bottom w:w="80" w:type="dxa"/>
              <w:end w:w="90" w:type="dxa"/>
            </w:tcMar>
            <w:vAlign w:val="top"/>
          </w:tcPr>
          <w:p>
            <w:pPr>
              <w:spacing w:after="0"/>
            </w:pPr>
            <w:r>
              <w:rPr>
                <w:color w:val="1F2933"/>
                <w:sz w:val="14"/>
              </w:rPr>
              <w:t>OptionCandidate(s)</w:t>
            </w:r>
          </w:p>
        </w:tc>
        <w:tc>
          <w:tcPr>
            <w:tcW w:type="dxa" w:w="1440"/>
            <w:tcMar>
              <w:top w:w="80" w:type="dxa"/>
              <w:start w:w="90" w:type="dxa"/>
              <w:bottom w:w="80" w:type="dxa"/>
              <w:end w:w="90" w:type="dxa"/>
            </w:tcMar>
            <w:vAlign w:val="top"/>
          </w:tcPr>
          <w:p>
            <w:pPr>
              <w:spacing w:after="0"/>
            </w:pPr>
            <w:r>
              <w:rPr>
                <w:color w:val="1F2933"/>
                <w:sz w:val="14"/>
              </w:rPr>
              <w:t>Chain analytics</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GlobalOpportunityRanker</w:t>
            </w:r>
          </w:p>
        </w:tc>
        <w:tc>
          <w:tcPr>
            <w:tcW w:type="dxa" w:w="2232"/>
            <w:tcMar>
              <w:top w:w="80" w:type="dxa"/>
              <w:start w:w="90" w:type="dxa"/>
              <w:bottom w:w="80" w:type="dxa"/>
              <w:end w:w="90" w:type="dxa"/>
            </w:tcMar>
            <w:shd w:fill="F7F9FB"/>
            <w:vAlign w:val="top"/>
          </w:tcPr>
          <w:p>
            <w:pPr>
              <w:spacing w:after="0"/>
            </w:pPr>
            <w:r>
              <w:rPr>
                <w:color w:val="1F2933"/>
                <w:sz w:val="14"/>
              </w:rPr>
              <w:t>Cross-index candidates</w:t>
            </w:r>
          </w:p>
        </w:tc>
        <w:tc>
          <w:tcPr>
            <w:tcW w:type="dxa" w:w="2304"/>
            <w:tcMar>
              <w:top w:w="80" w:type="dxa"/>
              <w:start w:w="90" w:type="dxa"/>
              <w:bottom w:w="80" w:type="dxa"/>
              <w:end w:w="90" w:type="dxa"/>
            </w:tcMar>
            <w:shd w:fill="F7F9FB"/>
            <w:vAlign w:val="top"/>
          </w:tcPr>
          <w:p>
            <w:pPr>
              <w:spacing w:after="0"/>
            </w:pPr>
            <w:r>
              <w:rPr>
                <w:color w:val="1F2933"/>
                <w:sz w:val="14"/>
              </w:rPr>
              <w:t>Ranked opportunities</w:t>
            </w:r>
          </w:p>
        </w:tc>
        <w:tc>
          <w:tcPr>
            <w:tcW w:type="dxa" w:w="1440"/>
            <w:tcMar>
              <w:top w:w="80" w:type="dxa"/>
              <w:start w:w="90" w:type="dxa"/>
              <w:bottom w:w="80" w:type="dxa"/>
              <w:end w:w="90" w:type="dxa"/>
            </w:tcMar>
            <w:shd w:fill="F7F9FB"/>
            <w:vAlign w:val="top"/>
          </w:tcPr>
          <w:p>
            <w:pPr>
              <w:spacing w:after="0"/>
            </w:pPr>
            <w:r>
              <w:rPr>
                <w:color w:val="1F2933"/>
                <w:sz w:val="14"/>
              </w:rPr>
              <w:t>Minimal</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CapitalAllocator</w:t>
            </w:r>
          </w:p>
        </w:tc>
        <w:tc>
          <w:tcPr>
            <w:tcW w:type="dxa" w:w="2232"/>
            <w:tcMar>
              <w:top w:w="80" w:type="dxa"/>
              <w:start w:w="90" w:type="dxa"/>
              <w:bottom w:w="80" w:type="dxa"/>
              <w:end w:w="90" w:type="dxa"/>
            </w:tcMar>
            <w:vAlign w:val="top"/>
          </w:tcPr>
          <w:p>
            <w:pPr>
              <w:spacing w:after="0"/>
            </w:pPr>
            <w:r>
              <w:rPr>
                <w:color w:val="1F2933"/>
                <w:sz w:val="14"/>
              </w:rPr>
              <w:t>Portfolio + candidates</w:t>
            </w:r>
          </w:p>
        </w:tc>
        <w:tc>
          <w:tcPr>
            <w:tcW w:type="dxa" w:w="2304"/>
            <w:tcMar>
              <w:top w:w="80" w:type="dxa"/>
              <w:start w:w="90" w:type="dxa"/>
              <w:bottom w:w="80" w:type="dxa"/>
              <w:end w:w="90" w:type="dxa"/>
            </w:tcMar>
            <w:vAlign w:val="top"/>
          </w:tcPr>
          <w:p>
            <w:pPr>
              <w:spacing w:after="0"/>
            </w:pPr>
            <w:r>
              <w:rPr>
                <w:color w:val="1F2933"/>
                <w:sz w:val="14"/>
              </w:rPr>
              <w:t>Trade risk budget</w:t>
            </w:r>
          </w:p>
        </w:tc>
        <w:tc>
          <w:tcPr>
            <w:tcW w:type="dxa" w:w="1440"/>
            <w:tcMar>
              <w:top w:w="80" w:type="dxa"/>
              <w:start w:w="90" w:type="dxa"/>
              <w:bottom w:w="80" w:type="dxa"/>
              <w:end w:w="90" w:type="dxa"/>
            </w:tcMar>
            <w:vAlign w:val="top"/>
          </w:tcPr>
          <w:p>
            <w:pPr>
              <w:spacing w:after="0"/>
            </w:pPr>
            <w:r>
              <w:rPr>
                <w:color w:val="1F2933"/>
                <w:sz w:val="14"/>
              </w:rPr>
              <w:t>Allocation state</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RiskEngine</w:t>
            </w:r>
          </w:p>
        </w:tc>
        <w:tc>
          <w:tcPr>
            <w:tcW w:type="dxa" w:w="2232"/>
            <w:tcMar>
              <w:top w:w="80" w:type="dxa"/>
              <w:start w:w="90" w:type="dxa"/>
              <w:bottom w:w="80" w:type="dxa"/>
              <w:end w:w="90" w:type="dxa"/>
            </w:tcMar>
            <w:shd w:fill="F7F9FB"/>
            <w:vAlign w:val="top"/>
          </w:tcPr>
          <w:p>
            <w:pPr>
              <w:spacing w:after="0"/>
            </w:pPr>
            <w:r>
              <w:rPr>
                <w:color w:val="1F2933"/>
                <w:sz w:val="14"/>
              </w:rPr>
              <w:t>Candidate + portfolio + limits</w:t>
            </w:r>
          </w:p>
        </w:tc>
        <w:tc>
          <w:tcPr>
            <w:tcW w:type="dxa" w:w="2304"/>
            <w:tcMar>
              <w:top w:w="80" w:type="dxa"/>
              <w:start w:w="90" w:type="dxa"/>
              <w:bottom w:w="80" w:type="dxa"/>
              <w:end w:w="90" w:type="dxa"/>
            </w:tcMar>
            <w:shd w:fill="F7F9FB"/>
            <w:vAlign w:val="top"/>
          </w:tcPr>
          <w:p>
            <w:pPr>
              <w:spacing w:after="0"/>
            </w:pPr>
            <w:r>
              <w:rPr>
                <w:color w:val="1F2933"/>
                <w:sz w:val="14"/>
              </w:rPr>
              <w:t>RiskDecision</w:t>
            </w:r>
          </w:p>
        </w:tc>
        <w:tc>
          <w:tcPr>
            <w:tcW w:type="dxa" w:w="1440"/>
            <w:tcMar>
              <w:top w:w="80" w:type="dxa"/>
              <w:start w:w="90" w:type="dxa"/>
              <w:bottom w:w="80" w:type="dxa"/>
              <w:end w:w="90" w:type="dxa"/>
            </w:tcMar>
            <w:shd w:fill="F7F9FB"/>
            <w:vAlign w:val="top"/>
          </w:tcPr>
          <w:p>
            <w:pPr>
              <w:spacing w:after="0"/>
            </w:pPr>
            <w:r>
              <w:rPr>
                <w:color w:val="1F2933"/>
                <w:sz w:val="14"/>
              </w:rPr>
              <w:t>Risk state</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SafetyKernel</w:t>
            </w:r>
          </w:p>
        </w:tc>
        <w:tc>
          <w:tcPr>
            <w:tcW w:type="dxa" w:w="2232"/>
            <w:tcMar>
              <w:top w:w="80" w:type="dxa"/>
              <w:start w:w="90" w:type="dxa"/>
              <w:bottom w:w="80" w:type="dxa"/>
              <w:end w:w="90" w:type="dxa"/>
            </w:tcMar>
            <w:vAlign w:val="top"/>
          </w:tcPr>
          <w:p>
            <w:pPr>
              <w:spacing w:after="0"/>
            </w:pPr>
            <w:r>
              <w:rPr>
                <w:color w:val="1F2933"/>
                <w:sz w:val="14"/>
              </w:rPr>
              <w:t>Approved risk + live safety state</w:t>
            </w:r>
          </w:p>
        </w:tc>
        <w:tc>
          <w:tcPr>
            <w:tcW w:type="dxa" w:w="2304"/>
            <w:tcMar>
              <w:top w:w="80" w:type="dxa"/>
              <w:start w:w="90" w:type="dxa"/>
              <w:bottom w:w="80" w:type="dxa"/>
              <w:end w:w="90" w:type="dxa"/>
            </w:tcMar>
            <w:vAlign w:val="top"/>
          </w:tcPr>
          <w:p>
            <w:pPr>
              <w:spacing w:after="0"/>
            </w:pPr>
            <w:r>
              <w:rPr>
                <w:color w:val="1F2933"/>
                <w:sz w:val="14"/>
              </w:rPr>
              <w:t>ALLOW / REJECT / EXIT_ONLY / HALT</w:t>
            </w:r>
          </w:p>
        </w:tc>
        <w:tc>
          <w:tcPr>
            <w:tcW w:type="dxa" w:w="1440"/>
            <w:tcMar>
              <w:top w:w="80" w:type="dxa"/>
              <w:start w:w="90" w:type="dxa"/>
              <w:bottom w:w="80" w:type="dxa"/>
              <w:end w:w="90" w:type="dxa"/>
            </w:tcMar>
            <w:vAlign w:val="top"/>
          </w:tcPr>
          <w:p>
            <w:pPr>
              <w:spacing w:after="0"/>
            </w:pPr>
            <w:r>
              <w:rPr>
                <w:color w:val="1F2933"/>
                <w:sz w:val="14"/>
              </w:rPr>
              <w:t>Hard state</w:t>
            </w:r>
          </w:p>
        </w:tc>
        <w:tc>
          <w:tcPr>
            <w:tcW w:type="dxa" w:w="1440"/>
            <w:tcMar>
              <w:top w:w="80" w:type="dxa"/>
              <w:start w:w="90" w:type="dxa"/>
              <w:bottom w:w="80" w:type="dxa"/>
              <w:end w:w="90" w:type="dxa"/>
            </w:tcMar>
            <w:vAlign w:val="top"/>
          </w:tcPr>
          <w:p>
            <w:pPr>
              <w:spacing w:after="0"/>
            </w:pPr>
            <w:r>
              <w:rPr>
                <w:color w:val="1F2933"/>
                <w:sz w:val="14"/>
              </w:rPr>
              <w:t>No</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ExecutionPlanner</w:t>
            </w:r>
          </w:p>
        </w:tc>
        <w:tc>
          <w:tcPr>
            <w:tcW w:type="dxa" w:w="2232"/>
            <w:tcMar>
              <w:top w:w="80" w:type="dxa"/>
              <w:start w:w="90" w:type="dxa"/>
              <w:bottom w:w="80" w:type="dxa"/>
              <w:end w:w="90" w:type="dxa"/>
            </w:tcMar>
            <w:shd w:fill="F7F9FB"/>
            <w:vAlign w:val="top"/>
          </w:tcPr>
          <w:p>
            <w:pPr>
              <w:spacing w:after="0"/>
            </w:pPr>
            <w:r>
              <w:rPr>
                <w:color w:val="1F2933"/>
                <w:sz w:val="14"/>
              </w:rPr>
              <w:t>Approved candidate</w:t>
            </w:r>
          </w:p>
        </w:tc>
        <w:tc>
          <w:tcPr>
            <w:tcW w:type="dxa" w:w="2304"/>
            <w:tcMar>
              <w:top w:w="80" w:type="dxa"/>
              <w:start w:w="90" w:type="dxa"/>
              <w:bottom w:w="80" w:type="dxa"/>
              <w:end w:w="90" w:type="dxa"/>
            </w:tcMar>
            <w:shd w:fill="F7F9FB"/>
            <w:vAlign w:val="top"/>
          </w:tcPr>
          <w:p>
            <w:pPr>
              <w:spacing w:after="0"/>
            </w:pPr>
            <w:r>
              <w:rPr>
                <w:color w:val="1F2933"/>
                <w:sz w:val="14"/>
              </w:rPr>
              <w:t>Executable intent</w:t>
            </w:r>
          </w:p>
        </w:tc>
        <w:tc>
          <w:tcPr>
            <w:tcW w:type="dxa" w:w="1440"/>
            <w:tcMar>
              <w:top w:w="80" w:type="dxa"/>
              <w:start w:w="90" w:type="dxa"/>
              <w:bottom w:w="80" w:type="dxa"/>
              <w:end w:w="90" w:type="dxa"/>
            </w:tcMar>
            <w:shd w:fill="F7F9FB"/>
            <w:vAlign w:val="top"/>
          </w:tcPr>
          <w:p>
            <w:pPr>
              <w:spacing w:after="0"/>
            </w:pPr>
            <w:r>
              <w:rPr>
                <w:color w:val="1F2933"/>
                <w:sz w:val="14"/>
              </w:rPr>
              <w:t>Minimal</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OrderManager</w:t>
            </w:r>
          </w:p>
        </w:tc>
        <w:tc>
          <w:tcPr>
            <w:tcW w:type="dxa" w:w="2232"/>
            <w:tcMar>
              <w:top w:w="80" w:type="dxa"/>
              <w:start w:w="90" w:type="dxa"/>
              <w:bottom w:w="80" w:type="dxa"/>
              <w:end w:w="90" w:type="dxa"/>
            </w:tcMar>
            <w:vAlign w:val="top"/>
          </w:tcPr>
          <w:p>
            <w:pPr>
              <w:spacing w:after="0"/>
            </w:pPr>
            <w:r>
              <w:rPr>
                <w:color w:val="1F2933"/>
                <w:sz w:val="14"/>
              </w:rPr>
              <w:t>Executable intent</w:t>
            </w:r>
          </w:p>
        </w:tc>
        <w:tc>
          <w:tcPr>
            <w:tcW w:type="dxa" w:w="2304"/>
            <w:tcMar>
              <w:top w:w="80" w:type="dxa"/>
              <w:start w:w="90" w:type="dxa"/>
              <w:bottom w:w="80" w:type="dxa"/>
              <w:end w:w="90" w:type="dxa"/>
            </w:tcMar>
            <w:vAlign w:val="top"/>
          </w:tcPr>
          <w:p>
            <w:pPr>
              <w:spacing w:after="0"/>
            </w:pPr>
            <w:r>
              <w:rPr>
                <w:color w:val="1F2933"/>
                <w:sz w:val="14"/>
              </w:rPr>
              <w:t>Order lifecycle</w:t>
            </w:r>
          </w:p>
        </w:tc>
        <w:tc>
          <w:tcPr>
            <w:tcW w:type="dxa" w:w="1440"/>
            <w:tcMar>
              <w:top w:w="80" w:type="dxa"/>
              <w:start w:w="90" w:type="dxa"/>
              <w:bottom w:w="80" w:type="dxa"/>
              <w:end w:w="90" w:type="dxa"/>
            </w:tcMar>
            <w:vAlign w:val="top"/>
          </w:tcPr>
          <w:p>
            <w:pPr>
              <w:spacing w:after="0"/>
            </w:pPr>
            <w:r>
              <w:rPr>
                <w:color w:val="1F2933"/>
                <w:sz w:val="14"/>
              </w:rPr>
              <w:t>Durable</w:t>
            </w:r>
          </w:p>
        </w:tc>
        <w:tc>
          <w:tcPr>
            <w:tcW w:type="dxa" w:w="1440"/>
            <w:tcMar>
              <w:top w:w="80" w:type="dxa"/>
              <w:start w:w="90" w:type="dxa"/>
              <w:bottom w:w="80" w:type="dxa"/>
              <w:end w:w="90" w:type="dxa"/>
            </w:tcMar>
            <w:vAlign w:val="top"/>
          </w:tcPr>
          <w:p>
            <w:pPr>
              <w:spacing w:after="0"/>
            </w:pPr>
            <w:r>
              <w:rPr>
                <w:color w:val="1F2933"/>
                <w:sz w:val="14"/>
              </w:rPr>
              <w:t>YES</w:t>
            </w:r>
          </w:p>
        </w:tc>
      </w:tr>
      <w:tr>
        <w:trPr>
          <w:cantSplit/>
        </w:trPr>
        <w:tc>
          <w:tcPr>
            <w:tcW w:type="dxa" w:w="2232"/>
            <w:tcMar>
              <w:top w:w="80" w:type="dxa"/>
              <w:start w:w="90" w:type="dxa"/>
              <w:bottom w:w="80" w:type="dxa"/>
              <w:end w:w="90" w:type="dxa"/>
            </w:tcMar>
            <w:shd w:fill="F7F9FB"/>
            <w:vAlign w:val="top"/>
          </w:tcPr>
          <w:p>
            <w:pPr>
              <w:spacing w:after="0"/>
            </w:pPr>
            <w:r>
              <w:rPr>
                <w:color w:val="1F2933"/>
                <w:sz w:val="14"/>
              </w:rPr>
              <w:t>Reconciler</w:t>
            </w:r>
          </w:p>
        </w:tc>
        <w:tc>
          <w:tcPr>
            <w:tcW w:type="dxa" w:w="2232"/>
            <w:tcMar>
              <w:top w:w="80" w:type="dxa"/>
              <w:start w:w="90" w:type="dxa"/>
              <w:bottom w:w="80" w:type="dxa"/>
              <w:end w:w="90" w:type="dxa"/>
            </w:tcMar>
            <w:shd w:fill="F7F9FB"/>
            <w:vAlign w:val="top"/>
          </w:tcPr>
          <w:p>
            <w:pPr>
              <w:spacing w:after="0"/>
            </w:pPr>
            <w:r>
              <w:rPr>
                <w:color w:val="1F2933"/>
                <w:sz w:val="14"/>
              </w:rPr>
              <w:t>Internal + broker truth</w:t>
            </w:r>
          </w:p>
        </w:tc>
        <w:tc>
          <w:tcPr>
            <w:tcW w:type="dxa" w:w="2304"/>
            <w:tcMar>
              <w:top w:w="80" w:type="dxa"/>
              <w:start w:w="90" w:type="dxa"/>
              <w:bottom w:w="80" w:type="dxa"/>
              <w:end w:w="90" w:type="dxa"/>
            </w:tcMar>
            <w:shd w:fill="F7F9FB"/>
            <w:vAlign w:val="top"/>
          </w:tcPr>
          <w:p>
            <w:pPr>
              <w:spacing w:after="0"/>
            </w:pPr>
            <w:r>
              <w:rPr>
                <w:color w:val="1F2933"/>
                <w:sz w:val="14"/>
              </w:rPr>
              <w:t>ReconciliationResult</w:t>
            </w:r>
          </w:p>
        </w:tc>
        <w:tc>
          <w:tcPr>
            <w:tcW w:type="dxa" w:w="1440"/>
            <w:tcMar>
              <w:top w:w="80" w:type="dxa"/>
              <w:start w:w="90" w:type="dxa"/>
              <w:bottom w:w="80" w:type="dxa"/>
              <w:end w:w="90" w:type="dxa"/>
            </w:tcMar>
            <w:shd w:fill="F7F9FB"/>
            <w:vAlign w:val="top"/>
          </w:tcPr>
          <w:p>
            <w:pPr>
              <w:spacing w:after="0"/>
            </w:pPr>
            <w:r>
              <w:rPr>
                <w:color w:val="1F2933"/>
                <w:sz w:val="14"/>
              </w:rPr>
              <w:t>Durable</w:t>
            </w:r>
          </w:p>
        </w:tc>
        <w:tc>
          <w:tcPr>
            <w:tcW w:type="dxa" w:w="1440"/>
            <w:tcMar>
              <w:top w:w="80" w:type="dxa"/>
              <w:start w:w="90" w:type="dxa"/>
              <w:bottom w:w="80" w:type="dxa"/>
              <w:end w:w="90" w:type="dxa"/>
            </w:tcMar>
            <w:shd w:fill="F7F9FB"/>
            <w:vAlign w:val="top"/>
          </w:tcPr>
          <w:p>
            <w:pPr>
              <w:spacing w:after="0"/>
            </w:pPr>
            <w:r>
              <w:rPr>
                <w:color w:val="1F2933"/>
                <w:sz w:val="14"/>
              </w:rPr>
              <w:t>No</w:t>
            </w:r>
          </w:p>
        </w:tc>
      </w:tr>
      <w:tr>
        <w:trPr>
          <w:cantSplit/>
        </w:trPr>
        <w:tc>
          <w:tcPr>
            <w:tcW w:type="dxa" w:w="2232"/>
            <w:tcMar>
              <w:top w:w="80" w:type="dxa"/>
              <w:start w:w="90" w:type="dxa"/>
              <w:bottom w:w="80" w:type="dxa"/>
              <w:end w:w="90" w:type="dxa"/>
            </w:tcMar>
            <w:vAlign w:val="top"/>
          </w:tcPr>
          <w:p>
            <w:pPr>
              <w:spacing w:after="0"/>
            </w:pPr>
            <w:r>
              <w:rPr>
                <w:color w:val="1F2933"/>
                <w:sz w:val="14"/>
              </w:rPr>
              <w:t>TCA/PnL Attribution</w:t>
            </w:r>
          </w:p>
        </w:tc>
        <w:tc>
          <w:tcPr>
            <w:tcW w:type="dxa" w:w="2232"/>
            <w:tcMar>
              <w:top w:w="80" w:type="dxa"/>
              <w:start w:w="90" w:type="dxa"/>
              <w:bottom w:w="80" w:type="dxa"/>
              <w:end w:w="90" w:type="dxa"/>
            </w:tcMar>
            <w:vAlign w:val="top"/>
          </w:tcPr>
          <w:p>
            <w:pPr>
              <w:spacing w:after="0"/>
            </w:pPr>
            <w:r>
              <w:rPr>
                <w:color w:val="1F2933"/>
                <w:sz w:val="14"/>
              </w:rPr>
              <w:t>Decision/order/fill history</w:t>
            </w:r>
          </w:p>
        </w:tc>
        <w:tc>
          <w:tcPr>
            <w:tcW w:type="dxa" w:w="2304"/>
            <w:tcMar>
              <w:top w:w="80" w:type="dxa"/>
              <w:start w:w="90" w:type="dxa"/>
              <w:bottom w:w="80" w:type="dxa"/>
              <w:end w:w="90" w:type="dxa"/>
            </w:tcMar>
            <w:vAlign w:val="top"/>
          </w:tcPr>
          <w:p>
            <w:pPr>
              <w:spacing w:after="0"/>
            </w:pPr>
            <w:r>
              <w:rPr>
                <w:color w:val="1F2933"/>
                <w:sz w:val="14"/>
              </w:rPr>
              <w:t>Execution + edge attribution</w:t>
            </w:r>
          </w:p>
        </w:tc>
        <w:tc>
          <w:tcPr>
            <w:tcW w:type="dxa" w:w="1440"/>
            <w:tcMar>
              <w:top w:w="80" w:type="dxa"/>
              <w:start w:w="90" w:type="dxa"/>
              <w:bottom w:w="80" w:type="dxa"/>
              <w:end w:w="90" w:type="dxa"/>
            </w:tcMar>
            <w:vAlign w:val="top"/>
          </w:tcPr>
          <w:p>
            <w:pPr>
              <w:spacing w:after="0"/>
            </w:pPr>
            <w:r>
              <w:rPr>
                <w:color w:val="1F2933"/>
                <w:sz w:val="14"/>
              </w:rPr>
              <w:t>Analytical</w:t>
            </w:r>
          </w:p>
        </w:tc>
        <w:tc>
          <w:tcPr>
            <w:tcW w:type="dxa" w:w="1440"/>
            <w:tcMar>
              <w:top w:w="80" w:type="dxa"/>
              <w:start w:w="90" w:type="dxa"/>
              <w:bottom w:w="80" w:type="dxa"/>
              <w:end w:w="90" w:type="dxa"/>
            </w:tcMar>
            <w:vAlign w:val="top"/>
          </w:tcPr>
          <w:p>
            <w:pPr>
              <w:spacing w:after="0"/>
            </w:pPr>
            <w:r>
              <w:rPr>
                <w:color w:val="1F2933"/>
                <w:sz w:val="14"/>
              </w:rPr>
              <w:t>No</w:t>
            </w:r>
          </w:p>
        </w:tc>
      </w:tr>
    </w:tbl>
    <w:p>
      <w:pPr>
        <w:spacing w:after="0"/>
      </w:pPr>
    </w:p>
    <w:tbl>
      <w:tblPr>
        <w:tblW w:type="auto" w:w="0"/>
        <w:jc w:val="center"/>
        <w:tblLook w:firstColumn="1" w:firstRow="1" w:lastColumn="0" w:lastRow="0" w:noHBand="0" w:noVBand="1" w:val="04A0"/>
      </w:tblPr>
      <w:tblGrid>
        <w:gridCol w:w="10282"/>
      </w:tblGrid>
      <w:tr>
        <w:tc>
          <w:tcPr>
            <w:tcW w:type="dxa" w:w="10282"/>
            <w:shd w:fill="FFF1F0"/>
            <w:tcMar>
              <w:top w:w="120" w:type="dxa"/>
              <w:start w:w="160" w:type="dxa"/>
              <w:bottom w:w="120" w:type="dxa"/>
              <w:end w:w="160" w:type="dxa"/>
            </w:tcMar>
          </w:tcPr>
          <w:p>
            <w:r>
              <w:rPr>
                <w:b/>
                <w:color w:val="17365D"/>
              </w:rPr>
              <w:t xml:space="preserve">Critical rule: </w:t>
            </w:r>
            <w:r>
              <w:t>Only OrderManager through ExecutionBrokerAdapter can transmit a broker order. Strategy, opportunity, option, capital, risk, LLM and research code cannot.</w:t>
            </w:r>
          </w:p>
        </w:tc>
      </w:tr>
    </w:tbl>
    <w:p>
      <w:pPr>
        <w:spacing w:after="0"/>
      </w:pPr>
    </w:p>
    <w:p>
      <w:r>
        <w:br w:type="page"/>
      </w:r>
    </w:p>
    <w:p>
      <w:pPr>
        <w:pStyle w:val="Heading1"/>
      </w:pPr>
      <w:r>
        <w:t>6. Domain Contracts and State Machines</w:t>
      </w:r>
    </w:p>
    <w:p>
      <w:pPr>
        <w:pStyle w:val="Heading2"/>
      </w:pPr>
      <w:r>
        <w:t>6.1 Canonical Event Envelope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65D"/>
            <w:tcMar>
              <w:top w:w="80" w:type="dxa"/>
              <w:start w:w="90" w:type="dxa"/>
              <w:bottom w:w="80" w:type="dxa"/>
              <w:end w:w="90" w:type="dxa"/>
            </w:tcMar>
            <w:vAlign w:val="center"/>
          </w:tcPr>
          <w:p>
            <w:pPr>
              <w:jc w:val="center"/>
            </w:pPr>
            <w:r>
              <w:rPr>
                <w:b/>
                <w:color w:val="FFFFFF"/>
                <w:sz w:val="16"/>
              </w:rPr>
              <w:t>Field group</w:t>
            </w:r>
          </w:p>
        </w:tc>
        <w:tc>
          <w:tcPr>
            <w:tcW w:type="dxa" w:w="7488"/>
            <w:shd w:fill="17365D"/>
            <w:tcMar>
              <w:top w:w="80" w:type="dxa"/>
              <w:start w:w="90" w:type="dxa"/>
              <w:bottom w:w="80" w:type="dxa"/>
              <w:end w:w="90" w:type="dxa"/>
            </w:tcMar>
            <w:vAlign w:val="center"/>
          </w:tcPr>
          <w:p>
            <w:pPr>
              <w:jc w:val="center"/>
            </w:pPr>
            <w:r>
              <w:rPr>
                <w:b/>
                <w:color w:val="FFFFFF"/>
                <w:sz w:val="16"/>
              </w:rPr>
              <w:t>Required fields</w:t>
            </w:r>
          </w:p>
        </w:tc>
      </w:tr>
      <w:tr>
        <w:trPr>
          <w:cantSplit/>
        </w:trPr>
        <w:tc>
          <w:tcPr>
            <w:tcW w:type="dxa" w:w="2016"/>
            <w:tcMar>
              <w:top w:w="80" w:type="dxa"/>
              <w:start w:w="90" w:type="dxa"/>
              <w:bottom w:w="80" w:type="dxa"/>
              <w:end w:w="90" w:type="dxa"/>
            </w:tcMar>
            <w:vAlign w:val="top"/>
          </w:tcPr>
          <w:p>
            <w:pPr>
              <w:spacing w:after="0"/>
            </w:pPr>
            <w:r>
              <w:rPr>
                <w:color w:val="1F2933"/>
                <w:sz w:val="16"/>
              </w:rPr>
              <w:t>Identity</w:t>
            </w:r>
          </w:p>
        </w:tc>
        <w:tc>
          <w:tcPr>
            <w:tcW w:type="dxa" w:w="7488"/>
            <w:tcMar>
              <w:top w:w="80" w:type="dxa"/>
              <w:start w:w="90" w:type="dxa"/>
              <w:bottom w:w="80" w:type="dxa"/>
              <w:end w:w="90" w:type="dxa"/>
            </w:tcMar>
            <w:vAlign w:val="top"/>
          </w:tcPr>
          <w:p>
            <w:pPr>
              <w:spacing w:after="0"/>
            </w:pPr>
            <w:r>
              <w:rPr>
                <w:color w:val="1F2933"/>
                <w:sz w:val="16"/>
              </w:rPr>
              <w:t>event_id, event_type, schema_version, source, source_instance</w:t>
            </w:r>
          </w:p>
        </w:tc>
      </w:tr>
      <w:tr>
        <w:trPr>
          <w:cantSplit/>
        </w:trPr>
        <w:tc>
          <w:tcPr>
            <w:tcW w:type="dxa" w:w="2016"/>
            <w:tcMar>
              <w:top w:w="80" w:type="dxa"/>
              <w:start w:w="90" w:type="dxa"/>
              <w:bottom w:w="80" w:type="dxa"/>
              <w:end w:w="90" w:type="dxa"/>
            </w:tcMar>
            <w:shd w:fill="F7F9FB"/>
            <w:vAlign w:val="top"/>
          </w:tcPr>
          <w:p>
            <w:pPr>
              <w:spacing w:after="0"/>
            </w:pPr>
            <w:r>
              <w:rPr>
                <w:color w:val="1F2933"/>
                <w:sz w:val="16"/>
              </w:rPr>
              <w:t>Instrument</w:t>
            </w:r>
          </w:p>
        </w:tc>
        <w:tc>
          <w:tcPr>
            <w:tcW w:type="dxa" w:w="7488"/>
            <w:tcMar>
              <w:top w:w="80" w:type="dxa"/>
              <w:start w:w="90" w:type="dxa"/>
              <w:bottom w:w="80" w:type="dxa"/>
              <w:end w:w="90" w:type="dxa"/>
            </w:tcMar>
            <w:shd w:fill="F7F9FB"/>
            <w:vAlign w:val="top"/>
          </w:tcPr>
          <w:p>
            <w:pPr>
              <w:spacing w:after="0"/>
            </w:pPr>
            <w:r>
              <w:rPr>
                <w:color w:val="1F2933"/>
                <w:sz w:val="16"/>
              </w:rPr>
              <w:t>instrument_id, underlying, exchange/segment when applicable</w:t>
            </w:r>
          </w:p>
        </w:tc>
      </w:tr>
      <w:tr>
        <w:trPr>
          <w:cantSplit/>
        </w:trPr>
        <w:tc>
          <w:tcPr>
            <w:tcW w:type="dxa" w:w="2016"/>
            <w:tcMar>
              <w:top w:w="80" w:type="dxa"/>
              <w:start w:w="90" w:type="dxa"/>
              <w:bottom w:w="80" w:type="dxa"/>
              <w:end w:w="90" w:type="dxa"/>
            </w:tcMar>
            <w:vAlign w:val="top"/>
          </w:tcPr>
          <w:p>
            <w:pPr>
              <w:spacing w:after="0"/>
            </w:pPr>
            <w:r>
              <w:rPr>
                <w:color w:val="1F2933"/>
                <w:sz w:val="16"/>
              </w:rPr>
              <w:t>Causality</w:t>
            </w:r>
          </w:p>
        </w:tc>
        <w:tc>
          <w:tcPr>
            <w:tcW w:type="dxa" w:w="7488"/>
            <w:tcMar>
              <w:top w:w="80" w:type="dxa"/>
              <w:start w:w="90" w:type="dxa"/>
              <w:bottom w:w="80" w:type="dxa"/>
              <w:end w:w="90" w:type="dxa"/>
            </w:tcMar>
            <w:vAlign w:val="top"/>
          </w:tcPr>
          <w:p>
            <w:pPr>
              <w:spacing w:after="0"/>
            </w:pPr>
            <w:r>
              <w:rPr>
                <w:color w:val="1F2933"/>
                <w:sz w:val="16"/>
              </w:rPr>
              <w:t>correlation_id, causation_id, sequence_number</w:t>
            </w:r>
          </w:p>
        </w:tc>
      </w:tr>
      <w:tr>
        <w:trPr>
          <w:cantSplit/>
        </w:trPr>
        <w:tc>
          <w:tcPr>
            <w:tcW w:type="dxa" w:w="2016"/>
            <w:tcMar>
              <w:top w:w="80" w:type="dxa"/>
              <w:start w:w="90" w:type="dxa"/>
              <w:bottom w:w="80" w:type="dxa"/>
              <w:end w:w="90" w:type="dxa"/>
            </w:tcMar>
            <w:shd w:fill="F7F9FB"/>
            <w:vAlign w:val="top"/>
          </w:tcPr>
          <w:p>
            <w:pPr>
              <w:spacing w:after="0"/>
            </w:pPr>
            <w:r>
              <w:rPr>
                <w:color w:val="1F2933"/>
                <w:sz w:val="16"/>
              </w:rPr>
              <w:t>Time</w:t>
            </w:r>
          </w:p>
        </w:tc>
        <w:tc>
          <w:tcPr>
            <w:tcW w:type="dxa" w:w="7488"/>
            <w:tcMar>
              <w:top w:w="80" w:type="dxa"/>
              <w:start w:w="90" w:type="dxa"/>
              <w:bottom w:w="80" w:type="dxa"/>
              <w:end w:w="90" w:type="dxa"/>
            </w:tcMar>
            <w:shd w:fill="F7F9FB"/>
            <w:vAlign w:val="top"/>
          </w:tcPr>
          <w:p>
            <w:pPr>
              <w:spacing w:after="0"/>
            </w:pPr>
            <w:r>
              <w:rPr>
                <w:color w:val="1F2933"/>
                <w:sz w:val="16"/>
              </w:rPr>
              <w:t>ts_exchange, ts_broker (if available), ts_received, ts_processed, monotonic_receive_ns</w:t>
            </w:r>
          </w:p>
        </w:tc>
      </w:tr>
      <w:tr>
        <w:trPr>
          <w:cantSplit/>
        </w:trPr>
        <w:tc>
          <w:tcPr>
            <w:tcW w:type="dxa" w:w="2016"/>
            <w:tcMar>
              <w:top w:w="80" w:type="dxa"/>
              <w:start w:w="90" w:type="dxa"/>
              <w:bottom w:w="80" w:type="dxa"/>
              <w:end w:w="90" w:type="dxa"/>
            </w:tcMar>
            <w:vAlign w:val="top"/>
          </w:tcPr>
          <w:p>
            <w:pPr>
              <w:spacing w:after="0"/>
            </w:pPr>
            <w:r>
              <w:rPr>
                <w:color w:val="1F2933"/>
                <w:sz w:val="16"/>
              </w:rPr>
              <w:t>Quality</w:t>
            </w:r>
          </w:p>
        </w:tc>
        <w:tc>
          <w:tcPr>
            <w:tcW w:type="dxa" w:w="7488"/>
            <w:tcMar>
              <w:top w:w="80" w:type="dxa"/>
              <w:start w:w="90" w:type="dxa"/>
              <w:bottom w:w="80" w:type="dxa"/>
              <w:end w:w="90" w:type="dxa"/>
            </w:tcMar>
            <w:vAlign w:val="top"/>
          </w:tcPr>
          <w:p>
            <w:pPr>
              <w:spacing w:after="0"/>
            </w:pPr>
            <w:r>
              <w:rPr>
                <w:color w:val="1F2933"/>
                <w:sz w:val="16"/>
              </w:rPr>
              <w:t>quality_state, freshness, completeness flags</w:t>
            </w:r>
          </w:p>
        </w:tc>
      </w:tr>
      <w:tr>
        <w:trPr>
          <w:cantSplit/>
        </w:trPr>
        <w:tc>
          <w:tcPr>
            <w:tcW w:type="dxa" w:w="2016"/>
            <w:tcMar>
              <w:top w:w="80" w:type="dxa"/>
              <w:start w:w="90" w:type="dxa"/>
              <w:bottom w:w="80" w:type="dxa"/>
              <w:end w:w="90" w:type="dxa"/>
            </w:tcMar>
            <w:shd w:fill="F7F9FB"/>
            <w:vAlign w:val="top"/>
          </w:tcPr>
          <w:p>
            <w:pPr>
              <w:spacing w:after="0"/>
            </w:pPr>
            <w:r>
              <w:rPr>
                <w:color w:val="1F2933"/>
                <w:sz w:val="16"/>
              </w:rPr>
              <w:t>Payload</w:t>
            </w:r>
          </w:p>
        </w:tc>
        <w:tc>
          <w:tcPr>
            <w:tcW w:type="dxa" w:w="7488"/>
            <w:tcMar>
              <w:top w:w="80" w:type="dxa"/>
              <w:start w:w="90" w:type="dxa"/>
              <w:bottom w:w="80" w:type="dxa"/>
              <w:end w:w="90" w:type="dxa"/>
            </w:tcMar>
            <w:shd w:fill="F7F9FB"/>
            <w:vAlign w:val="top"/>
          </w:tcPr>
          <w:p>
            <w:pPr>
              <w:spacing w:after="0"/>
            </w:pPr>
            <w:r>
              <w:rPr>
                <w:color w:val="1F2933"/>
                <w:sz w:val="16"/>
              </w:rPr>
              <w:t>payload, payload_hash, provider-specific raw reference</w:t>
            </w:r>
          </w:p>
        </w:tc>
      </w:tr>
      <w:tr>
        <w:trPr>
          <w:cantSplit/>
        </w:trPr>
        <w:tc>
          <w:tcPr>
            <w:tcW w:type="dxa" w:w="2016"/>
            <w:tcMar>
              <w:top w:w="80" w:type="dxa"/>
              <w:start w:w="90" w:type="dxa"/>
              <w:bottom w:w="80" w:type="dxa"/>
              <w:end w:w="90" w:type="dxa"/>
            </w:tcMar>
            <w:vAlign w:val="top"/>
          </w:tcPr>
          <w:p>
            <w:pPr>
              <w:spacing w:after="0"/>
            </w:pPr>
            <w:r>
              <w:rPr>
                <w:color w:val="1F2933"/>
                <w:sz w:val="16"/>
              </w:rPr>
              <w:t>Environment</w:t>
            </w:r>
          </w:p>
        </w:tc>
        <w:tc>
          <w:tcPr>
            <w:tcW w:type="dxa" w:w="7488"/>
            <w:tcMar>
              <w:top w:w="80" w:type="dxa"/>
              <w:start w:w="90" w:type="dxa"/>
              <w:bottom w:w="80" w:type="dxa"/>
              <w:end w:w="90" w:type="dxa"/>
            </w:tcMar>
            <w:vAlign w:val="top"/>
          </w:tcPr>
          <w:p>
            <w:pPr>
              <w:spacing w:after="0"/>
            </w:pPr>
            <w:r>
              <w:rPr>
                <w:color w:val="1F2933"/>
                <w:sz w:val="16"/>
              </w:rPr>
              <w:t>dev/backtest/replay/paper/shadow/live</w:t>
            </w:r>
          </w:p>
        </w:tc>
      </w:tr>
    </w:tbl>
    <w:p>
      <w:pPr>
        <w:spacing w:after="0"/>
      </w:pPr>
    </w:p>
    <w:p>
      <w:pPr>
        <w:pStyle w:val="Heading2"/>
      </w:pPr>
      <w:r>
        <w:t>6.2 Core immutable decision contracts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shd w:fill="17365D"/>
            <w:tcMar>
              <w:top w:w="80" w:type="dxa"/>
              <w:start w:w="90" w:type="dxa"/>
              <w:bottom w:w="80" w:type="dxa"/>
              <w:end w:w="90" w:type="dxa"/>
            </w:tcMar>
            <w:vAlign w:val="center"/>
          </w:tcPr>
          <w:p>
            <w:pPr>
              <w:jc w:val="center"/>
            </w:pPr>
            <w:r>
              <w:rPr>
                <w:b/>
                <w:color w:val="FFFFFF"/>
                <w:sz w:val="16"/>
              </w:rPr>
              <w:t>Contract</w:t>
            </w:r>
          </w:p>
        </w:tc>
        <w:tc>
          <w:tcPr>
            <w:tcW w:type="dxa" w:w="7272"/>
            <w:shd w:fill="17365D"/>
            <w:tcMar>
              <w:top w:w="80" w:type="dxa"/>
              <w:start w:w="90" w:type="dxa"/>
              <w:bottom w:w="80" w:type="dxa"/>
              <w:end w:w="90" w:type="dxa"/>
            </w:tcMar>
            <w:vAlign w:val="center"/>
          </w:tcPr>
          <w:p>
            <w:pPr>
              <w:jc w:val="center"/>
            </w:pPr>
            <w:r>
              <w:rPr>
                <w:b/>
                <w:color w:val="FFFFFF"/>
                <w:sz w:val="16"/>
              </w:rPr>
              <w:t>Minimum content</w:t>
            </w:r>
          </w:p>
        </w:tc>
      </w:tr>
      <w:tr>
        <w:trPr>
          <w:cantSplit/>
        </w:trPr>
        <w:tc>
          <w:tcPr>
            <w:tcW w:type="dxa" w:w="2232"/>
            <w:tcMar>
              <w:top w:w="80" w:type="dxa"/>
              <w:start w:w="90" w:type="dxa"/>
              <w:bottom w:w="80" w:type="dxa"/>
              <w:end w:w="90" w:type="dxa"/>
            </w:tcMar>
            <w:vAlign w:val="top"/>
          </w:tcPr>
          <w:p>
            <w:pPr>
              <w:spacing w:after="0"/>
            </w:pPr>
            <w:r>
              <w:rPr>
                <w:color w:val="1F2933"/>
                <w:sz w:val="16"/>
              </w:rPr>
              <w:t>MarketStateSnapshot</w:t>
            </w:r>
          </w:p>
        </w:tc>
        <w:tc>
          <w:tcPr>
            <w:tcW w:type="dxa" w:w="7272"/>
            <w:tcMar>
              <w:top w:w="80" w:type="dxa"/>
              <w:start w:w="90" w:type="dxa"/>
              <w:bottom w:w="80" w:type="dxa"/>
              <w:end w:w="90" w:type="dxa"/>
            </w:tcMar>
            <w:vAlign w:val="top"/>
          </w:tcPr>
          <w:p>
            <w:pPr>
              <w:spacing w:after="0"/>
            </w:pPr>
            <w:r>
              <w:rPr>
                <w:color w:val="1F2933"/>
                <w:sz w:val="16"/>
              </w:rPr>
              <w:t>snapshot_id, as_of, watermark, quotes, candles, option state, structure, regime context, data quality, versions</w:t>
            </w:r>
          </w:p>
        </w:tc>
      </w:tr>
      <w:tr>
        <w:trPr>
          <w:cantSplit/>
        </w:trPr>
        <w:tc>
          <w:tcPr>
            <w:tcW w:type="dxa" w:w="2232"/>
            <w:tcMar>
              <w:top w:w="80" w:type="dxa"/>
              <w:start w:w="90" w:type="dxa"/>
              <w:bottom w:w="80" w:type="dxa"/>
              <w:end w:w="90" w:type="dxa"/>
            </w:tcMar>
            <w:shd w:fill="F7F9FB"/>
            <w:vAlign w:val="top"/>
          </w:tcPr>
          <w:p>
            <w:pPr>
              <w:spacing w:after="0"/>
            </w:pPr>
            <w:r>
              <w:rPr>
                <w:color w:val="1F2933"/>
                <w:sz w:val="16"/>
              </w:rPr>
              <w:t>FeatureVector</w:t>
            </w:r>
          </w:p>
        </w:tc>
        <w:tc>
          <w:tcPr>
            <w:tcW w:type="dxa" w:w="7272"/>
            <w:tcMar>
              <w:top w:w="80" w:type="dxa"/>
              <w:start w:w="90" w:type="dxa"/>
              <w:bottom w:w="80" w:type="dxa"/>
              <w:end w:w="90" w:type="dxa"/>
            </w:tcMar>
            <w:shd w:fill="F7F9FB"/>
            <w:vAlign w:val="top"/>
          </w:tcPr>
          <w:p>
            <w:pPr>
              <w:spacing w:after="0"/>
            </w:pPr>
            <w:r>
              <w:rPr>
                <w:color w:val="1F2933"/>
                <w:sz w:val="16"/>
              </w:rPr>
              <w:t>feature_version, as_of, values, input state ID, lineage metadata</w:t>
            </w:r>
          </w:p>
        </w:tc>
      </w:tr>
      <w:tr>
        <w:trPr>
          <w:cantSplit/>
        </w:trPr>
        <w:tc>
          <w:tcPr>
            <w:tcW w:type="dxa" w:w="2232"/>
            <w:tcMar>
              <w:top w:w="80" w:type="dxa"/>
              <w:start w:w="90" w:type="dxa"/>
              <w:bottom w:w="80" w:type="dxa"/>
              <w:end w:w="90" w:type="dxa"/>
            </w:tcMar>
            <w:vAlign w:val="top"/>
          </w:tcPr>
          <w:p>
            <w:pPr>
              <w:spacing w:after="0"/>
            </w:pPr>
            <w:r>
              <w:rPr>
                <w:color w:val="1F2933"/>
                <w:sz w:val="16"/>
              </w:rPr>
              <w:t>SignalCandidate</w:t>
            </w:r>
          </w:p>
        </w:tc>
        <w:tc>
          <w:tcPr>
            <w:tcW w:type="dxa" w:w="7272"/>
            <w:tcMar>
              <w:top w:w="80" w:type="dxa"/>
              <w:start w:w="90" w:type="dxa"/>
              <w:bottom w:w="80" w:type="dxa"/>
              <w:end w:w="90" w:type="dxa"/>
            </w:tcMar>
            <w:vAlign w:val="top"/>
          </w:tcPr>
          <w:p>
            <w:pPr>
              <w:spacing w:after="0"/>
            </w:pPr>
            <w:r>
              <w:rPr>
                <w:color w:val="1F2933"/>
                <w:sz w:val="16"/>
              </w:rPr>
              <w:t>signal_id, strategy/version, direction, setup, horizon, expected-move distribution, invalidation, confidence, reasons</w:t>
            </w:r>
          </w:p>
        </w:tc>
      </w:tr>
      <w:tr>
        <w:trPr>
          <w:cantSplit/>
        </w:trPr>
        <w:tc>
          <w:tcPr>
            <w:tcW w:type="dxa" w:w="2232"/>
            <w:tcMar>
              <w:top w:w="80" w:type="dxa"/>
              <w:start w:w="90" w:type="dxa"/>
              <w:bottom w:w="80" w:type="dxa"/>
              <w:end w:w="90" w:type="dxa"/>
            </w:tcMar>
            <w:shd w:fill="F7F9FB"/>
            <w:vAlign w:val="top"/>
          </w:tcPr>
          <w:p>
            <w:pPr>
              <w:spacing w:after="0"/>
            </w:pPr>
            <w:r>
              <w:rPr>
                <w:color w:val="1F2933"/>
                <w:sz w:val="16"/>
              </w:rPr>
              <w:t>OpportunityDecision</w:t>
            </w:r>
          </w:p>
        </w:tc>
        <w:tc>
          <w:tcPr>
            <w:tcW w:type="dxa" w:w="7272"/>
            <w:tcMar>
              <w:top w:w="80" w:type="dxa"/>
              <w:start w:w="90" w:type="dxa"/>
              <w:bottom w:w="80" w:type="dxa"/>
              <w:end w:w="90" w:type="dxa"/>
            </w:tcMar>
            <w:shd w:fill="F7F9FB"/>
            <w:vAlign w:val="top"/>
          </w:tcPr>
          <w:p>
            <w:pPr>
              <w:spacing w:after="0"/>
            </w:pPr>
            <w:r>
              <w:rPr>
                <w:color w:val="1F2933"/>
                <w:sz w:val="16"/>
              </w:rPr>
              <w:t>BUY_CE/BUY_PE/WAIT/NO_TRADE/UNCERTAIN, expected move, remaining move, stage, EV before/after cost, chasing/exhaustion risk</w:t>
            </w:r>
          </w:p>
        </w:tc>
      </w:tr>
      <w:tr>
        <w:trPr>
          <w:cantSplit/>
        </w:trPr>
        <w:tc>
          <w:tcPr>
            <w:tcW w:type="dxa" w:w="2232"/>
            <w:tcMar>
              <w:top w:w="80" w:type="dxa"/>
              <w:start w:w="90" w:type="dxa"/>
              <w:bottom w:w="80" w:type="dxa"/>
              <w:end w:w="90" w:type="dxa"/>
            </w:tcMar>
            <w:vAlign w:val="top"/>
          </w:tcPr>
          <w:p>
            <w:pPr>
              <w:spacing w:after="0"/>
            </w:pPr>
            <w:r>
              <w:rPr>
                <w:color w:val="1F2933"/>
                <w:sz w:val="16"/>
              </w:rPr>
              <w:t>OptionCandidate</w:t>
            </w:r>
          </w:p>
        </w:tc>
        <w:tc>
          <w:tcPr>
            <w:tcW w:type="dxa" w:w="7272"/>
            <w:tcMar>
              <w:top w:w="80" w:type="dxa"/>
              <w:start w:w="90" w:type="dxa"/>
              <w:bottom w:w="80" w:type="dxa"/>
              <w:end w:w="90" w:type="dxa"/>
            </w:tcMar>
            <w:vAlign w:val="top"/>
          </w:tcPr>
          <w:p>
            <w:pPr>
              <w:spacing w:after="0"/>
            </w:pPr>
            <w:r>
              <w:rPr>
                <w:color w:val="1F2933"/>
                <w:sz w:val="16"/>
              </w:rPr>
              <w:t>contract, expiry/strike/type, Greeks, IV, spread/depth, OI/volume, expected response, estimated costs, net EV</w:t>
            </w:r>
          </w:p>
        </w:tc>
      </w:tr>
      <w:tr>
        <w:trPr>
          <w:cantSplit/>
        </w:trPr>
        <w:tc>
          <w:tcPr>
            <w:tcW w:type="dxa" w:w="2232"/>
            <w:tcMar>
              <w:top w:w="80" w:type="dxa"/>
              <w:start w:w="90" w:type="dxa"/>
              <w:bottom w:w="80" w:type="dxa"/>
              <w:end w:w="90" w:type="dxa"/>
            </w:tcMar>
            <w:shd w:fill="F7F9FB"/>
            <w:vAlign w:val="top"/>
          </w:tcPr>
          <w:p>
            <w:pPr>
              <w:spacing w:after="0"/>
            </w:pPr>
            <w:r>
              <w:rPr>
                <w:color w:val="1F2933"/>
                <w:sz w:val="16"/>
              </w:rPr>
              <w:t>CapitalAllocation</w:t>
            </w:r>
          </w:p>
        </w:tc>
        <w:tc>
          <w:tcPr>
            <w:tcW w:type="dxa" w:w="7272"/>
            <w:tcMar>
              <w:top w:w="80" w:type="dxa"/>
              <w:start w:w="90" w:type="dxa"/>
              <w:bottom w:w="80" w:type="dxa"/>
              <w:end w:w="90" w:type="dxa"/>
            </w:tcMar>
            <w:shd w:fill="F7F9FB"/>
            <w:vAlign w:val="top"/>
          </w:tcPr>
          <w:p>
            <w:pPr>
              <w:spacing w:after="0"/>
            </w:pPr>
            <w:r>
              <w:rPr>
                <w:color w:val="1F2933"/>
                <w:sz w:val="16"/>
              </w:rPr>
              <w:t>portfolio risk budget, strategy/index allocation, requested trade budget, correlation adjustment</w:t>
            </w:r>
          </w:p>
        </w:tc>
      </w:tr>
      <w:tr>
        <w:trPr>
          <w:cantSplit/>
        </w:trPr>
        <w:tc>
          <w:tcPr>
            <w:tcW w:type="dxa" w:w="2232"/>
            <w:tcMar>
              <w:top w:w="80" w:type="dxa"/>
              <w:start w:w="90" w:type="dxa"/>
              <w:bottom w:w="80" w:type="dxa"/>
              <w:end w:w="90" w:type="dxa"/>
            </w:tcMar>
            <w:vAlign w:val="top"/>
          </w:tcPr>
          <w:p>
            <w:pPr>
              <w:spacing w:after="0"/>
            </w:pPr>
            <w:r>
              <w:rPr>
                <w:color w:val="1F2933"/>
                <w:sz w:val="16"/>
              </w:rPr>
              <w:t>RiskDecision</w:t>
            </w:r>
          </w:p>
        </w:tc>
        <w:tc>
          <w:tcPr>
            <w:tcW w:type="dxa" w:w="7272"/>
            <w:tcMar>
              <w:top w:w="80" w:type="dxa"/>
              <w:start w:w="90" w:type="dxa"/>
              <w:bottom w:w="80" w:type="dxa"/>
              <w:end w:w="90" w:type="dxa"/>
            </w:tcMar>
            <w:vAlign w:val="top"/>
          </w:tcPr>
          <w:p>
            <w:pPr>
              <w:spacing w:after="0"/>
            </w:pPr>
            <w:r>
              <w:rPr>
                <w:color w:val="1F2933"/>
                <w:sz w:val="16"/>
              </w:rPr>
              <w:t>APPROVE/RESIZE/REJECT/REDUCE/EXIT/HALT, approved quantity, estimated loss, exposures, hard-limit results, risk config version</w:t>
            </w:r>
          </w:p>
        </w:tc>
      </w:tr>
      <w:tr>
        <w:trPr>
          <w:cantSplit/>
        </w:trPr>
        <w:tc>
          <w:tcPr>
            <w:tcW w:type="dxa" w:w="2232"/>
            <w:tcMar>
              <w:top w:w="80" w:type="dxa"/>
              <w:start w:w="90" w:type="dxa"/>
              <w:bottom w:w="80" w:type="dxa"/>
              <w:end w:w="90" w:type="dxa"/>
            </w:tcMar>
            <w:shd w:fill="F7F9FB"/>
            <w:vAlign w:val="top"/>
          </w:tcPr>
          <w:p>
            <w:pPr>
              <w:spacing w:after="0"/>
            </w:pPr>
            <w:r>
              <w:rPr>
                <w:color w:val="1F2933"/>
                <w:sz w:val="16"/>
              </w:rPr>
              <w:t>OrderIntent</w:t>
            </w:r>
          </w:p>
        </w:tc>
        <w:tc>
          <w:tcPr>
            <w:tcW w:type="dxa" w:w="7272"/>
            <w:tcMar>
              <w:top w:w="80" w:type="dxa"/>
              <w:start w:w="90" w:type="dxa"/>
              <w:bottom w:w="80" w:type="dxa"/>
              <w:end w:w="90" w:type="dxa"/>
            </w:tcMar>
            <w:shd w:fill="F7F9FB"/>
            <w:vAlign w:val="top"/>
          </w:tcPr>
          <w:p>
            <w:pPr>
              <w:spacing w:after="0"/>
            </w:pPr>
            <w:r>
              <w:rPr>
                <w:color w:val="1F2933"/>
                <w:sz w:val="16"/>
              </w:rPr>
              <w:t>intent_id, client_order_id/idempotency key, contract, qty, type, price/trigger, decision TTL, versions</w:t>
            </w:r>
          </w:p>
        </w:tc>
      </w:tr>
      <w:tr>
        <w:trPr>
          <w:cantSplit/>
        </w:trPr>
        <w:tc>
          <w:tcPr>
            <w:tcW w:type="dxa" w:w="2232"/>
            <w:tcMar>
              <w:top w:w="80" w:type="dxa"/>
              <w:start w:w="90" w:type="dxa"/>
              <w:bottom w:w="80" w:type="dxa"/>
              <w:end w:w="90" w:type="dxa"/>
            </w:tcMar>
            <w:vAlign w:val="top"/>
          </w:tcPr>
          <w:p>
            <w:pPr>
              <w:spacing w:after="0"/>
            </w:pPr>
            <w:r>
              <w:rPr>
                <w:color w:val="1F2933"/>
                <w:sz w:val="16"/>
              </w:rPr>
              <w:t>DecisionRecord</w:t>
            </w:r>
          </w:p>
        </w:tc>
        <w:tc>
          <w:tcPr>
            <w:tcW w:type="dxa" w:w="7272"/>
            <w:tcMar>
              <w:top w:w="80" w:type="dxa"/>
              <w:start w:w="90" w:type="dxa"/>
              <w:bottom w:w="80" w:type="dxa"/>
              <w:end w:w="90" w:type="dxa"/>
            </w:tcMar>
            <w:vAlign w:val="top"/>
          </w:tcPr>
          <w:p>
            <w:pPr>
              <w:spacing w:after="0"/>
            </w:pPr>
            <w:r>
              <w:rPr>
                <w:color w:val="1F2933"/>
                <w:sz w:val="16"/>
              </w:rPr>
              <w:t>trace from raw state → signal → opportunity → option → risk → execution with reason codes and timing</w:t>
            </w:r>
          </w:p>
        </w:tc>
      </w:tr>
    </w:tbl>
    <w:p>
      <w:pPr>
        <w:spacing w:after="0"/>
      </w:pPr>
    </w:p>
    <w:p>
      <w:pPr>
        <w:pStyle w:val="Heading2"/>
      </w:pPr>
      <w:r>
        <w:t>6.3 System lifecycle</w:t>
      </w:r>
    </w:p>
    <w:p>
      <w:pPr>
        <w:jc w:val="center"/>
      </w:pPr>
      <w:r>
        <w:drawing>
          <wp:inline xmlns:a="http://schemas.openxmlformats.org/drawingml/2006/main" xmlns:pic="http://schemas.openxmlformats.org/drawingml/2006/picture">
            <wp:extent cx="5989320" cy="1245739"/>
            <wp:docPr id="3" name="Picture 3"/>
            <wp:cNvGraphicFramePr>
              <a:graphicFrameLocks noChangeAspect="1"/>
            </wp:cNvGraphicFramePr>
            <a:graphic>
              <a:graphicData uri="http://schemas.openxmlformats.org/drawingml/2006/picture">
                <pic:pic>
                  <pic:nvPicPr>
                    <pic:cNvPr id="0" name="system_state.png"/>
                    <pic:cNvPicPr/>
                  </pic:nvPicPr>
                  <pic:blipFill>
                    <a:blip r:embed="rId13"/>
                    <a:stretch>
                      <a:fillRect/>
                    </a:stretch>
                  </pic:blipFill>
                  <pic:spPr>
                    <a:xfrm>
                      <a:off x="0" y="0"/>
                      <a:ext cx="5989320" cy="1245739"/>
                    </a:xfrm>
                    <a:prstGeom prst="rect"/>
                  </pic:spPr>
                </pic:pic>
              </a:graphicData>
            </a:graphic>
          </wp:inline>
        </w:drawing>
      </w:r>
    </w:p>
    <w:p>
      <w:pPr>
        <w:spacing w:after="120"/>
        <w:jc w:val="center"/>
      </w:pPr>
      <w:r>
        <w:rPr>
          <w:i/>
          <w:color w:val="5A6670"/>
          <w:sz w:val="17"/>
        </w:rPr>
        <w:t>Figure 3 — Runtime lifecycle. Trading is never enabled directly from process start.</w:t>
      </w:r>
    </w:p>
    <w:p>
      <w:pPr>
        <w:pStyle w:val="Heading2"/>
      </w:pPr>
      <w:r>
        <w:t>6.4 Order lifecycle</w:t>
      </w:r>
    </w:p>
    <w:p>
      <w:pPr>
        <w:jc w:val="center"/>
      </w:pPr>
      <w:r>
        <w:drawing>
          <wp:inline xmlns:a="http://schemas.openxmlformats.org/drawingml/2006/main" xmlns:pic="http://schemas.openxmlformats.org/drawingml/2006/picture">
            <wp:extent cx="5989320" cy="1195098"/>
            <wp:docPr id="4" name="Picture 4"/>
            <wp:cNvGraphicFramePr>
              <a:graphicFrameLocks noChangeAspect="1"/>
            </wp:cNvGraphicFramePr>
            <a:graphic>
              <a:graphicData uri="http://schemas.openxmlformats.org/drawingml/2006/picture">
                <pic:pic>
                  <pic:nvPicPr>
                    <pic:cNvPr id="0" name="order_state.png"/>
                    <pic:cNvPicPr/>
                  </pic:nvPicPr>
                  <pic:blipFill>
                    <a:blip r:embed="rId14"/>
                    <a:stretch>
                      <a:fillRect/>
                    </a:stretch>
                  </pic:blipFill>
                  <pic:spPr>
                    <a:xfrm>
                      <a:off x="0" y="0"/>
                      <a:ext cx="5989320" cy="1195098"/>
                    </a:xfrm>
                    <a:prstGeom prst="rect"/>
                  </pic:spPr>
                </pic:pic>
              </a:graphicData>
            </a:graphic>
          </wp:inline>
        </w:drawing>
      </w:r>
    </w:p>
    <w:p>
      <w:pPr>
        <w:spacing w:after="120"/>
        <w:jc w:val="center"/>
      </w:pPr>
      <w:r>
        <w:rPr>
          <w:i/>
          <w:color w:val="5A6670"/>
          <w:sz w:val="17"/>
        </w:rPr>
        <w:t>Figure 4 — Idempotent order lifecycle. UNKNOWN requires reconciliation before any retry.</w:t>
      </w:r>
    </w:p>
    <w:p>
      <w:r>
        <w:br w:type="page"/>
      </w:r>
    </w:p>
    <w:p>
      <w:pPr>
        <w:pStyle w:val="Heading1"/>
      </w:pPr>
      <w:r>
        <w:t>7. Data Architecture and Point-in-Time Correctness</w:t>
      </w:r>
    </w:p>
    <w:p>
      <w:pPr>
        <w:pStyle w:val="Heading2"/>
      </w:pPr>
      <w:r>
        <w:t>7.1 Storage tiers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84"/>
            <w:shd w:fill="17365D"/>
            <w:tcMar>
              <w:top w:w="80" w:type="dxa"/>
              <w:start w:w="90" w:type="dxa"/>
              <w:bottom w:w="80" w:type="dxa"/>
              <w:end w:w="90" w:type="dxa"/>
            </w:tcMar>
            <w:vAlign w:val="center"/>
          </w:tcPr>
          <w:p>
            <w:pPr>
              <w:jc w:val="center"/>
            </w:pPr>
            <w:r>
              <w:rPr>
                <w:b/>
                <w:color w:val="FFFFFF"/>
                <w:sz w:val="16"/>
              </w:rPr>
              <w:t>Tier</w:t>
            </w:r>
          </w:p>
        </w:tc>
        <w:tc>
          <w:tcPr>
            <w:tcW w:type="dxa" w:w="2160"/>
            <w:shd w:fill="17365D"/>
            <w:tcMar>
              <w:top w:w="80" w:type="dxa"/>
              <w:start w:w="90" w:type="dxa"/>
              <w:bottom w:w="80" w:type="dxa"/>
              <w:end w:w="90" w:type="dxa"/>
            </w:tcMar>
            <w:vAlign w:val="center"/>
          </w:tcPr>
          <w:p>
            <w:pPr>
              <w:jc w:val="center"/>
            </w:pPr>
            <w:r>
              <w:rPr>
                <w:b/>
                <w:color w:val="FFFFFF"/>
                <w:sz w:val="16"/>
              </w:rPr>
              <w:t>Technology</w:t>
            </w:r>
          </w:p>
        </w:tc>
        <w:tc>
          <w:tcPr>
            <w:tcW w:type="dxa" w:w="5760"/>
            <w:shd w:fill="17365D"/>
            <w:tcMar>
              <w:top w:w="80" w:type="dxa"/>
              <w:start w:w="90" w:type="dxa"/>
              <w:bottom w:w="80" w:type="dxa"/>
              <w:end w:w="90" w:type="dxa"/>
            </w:tcMar>
            <w:vAlign w:val="center"/>
          </w:tcPr>
          <w:p>
            <w:pPr>
              <w:jc w:val="center"/>
            </w:pPr>
            <w:r>
              <w:rPr>
                <w:b/>
                <w:color w:val="FFFFFF"/>
                <w:sz w:val="16"/>
              </w:rPr>
              <w:t>Purpose</w:t>
            </w:r>
          </w:p>
        </w:tc>
      </w:tr>
      <w:tr>
        <w:trPr>
          <w:cantSplit/>
        </w:trPr>
        <w:tc>
          <w:tcPr>
            <w:tcW w:type="dxa" w:w="1584"/>
            <w:tcMar>
              <w:top w:w="80" w:type="dxa"/>
              <w:start w:w="90" w:type="dxa"/>
              <w:bottom w:w="80" w:type="dxa"/>
              <w:end w:w="90" w:type="dxa"/>
            </w:tcMar>
            <w:vAlign w:val="top"/>
          </w:tcPr>
          <w:p>
            <w:pPr>
              <w:spacing w:after="0"/>
            </w:pPr>
            <w:r>
              <w:rPr>
                <w:color w:val="1F2933"/>
                <w:sz w:val="16"/>
              </w:rPr>
              <w:t>Raw immutable</w:t>
            </w:r>
          </w:p>
        </w:tc>
        <w:tc>
          <w:tcPr>
            <w:tcW w:type="dxa" w:w="2160"/>
            <w:tcMar>
              <w:top w:w="80" w:type="dxa"/>
              <w:start w:w="90" w:type="dxa"/>
              <w:bottom w:w="80" w:type="dxa"/>
              <w:end w:w="90" w:type="dxa"/>
            </w:tcMar>
            <w:vAlign w:val="top"/>
          </w:tcPr>
          <w:p>
            <w:pPr>
              <w:spacing w:after="0"/>
            </w:pPr>
            <w:r>
              <w:rPr>
                <w:color w:val="1F2933"/>
                <w:sz w:val="16"/>
              </w:rPr>
              <w:t>Parquet on local/S3</w:t>
            </w:r>
          </w:p>
        </w:tc>
        <w:tc>
          <w:tcPr>
            <w:tcW w:type="dxa" w:w="5760"/>
            <w:tcMar>
              <w:top w:w="80" w:type="dxa"/>
              <w:start w:w="90" w:type="dxa"/>
              <w:bottom w:w="80" w:type="dxa"/>
              <w:end w:w="90" w:type="dxa"/>
            </w:tcMar>
            <w:vAlign w:val="top"/>
          </w:tcPr>
          <w:p>
            <w:pPr>
              <w:spacing w:after="0"/>
            </w:pPr>
            <w:r>
              <w:rPr>
                <w:color w:val="1F2933"/>
                <w:sz w:val="16"/>
              </w:rPr>
              <w:t>Original market/option/broker events, append-only, checksummed.</w:t>
            </w:r>
          </w:p>
        </w:tc>
      </w:tr>
      <w:tr>
        <w:trPr>
          <w:cantSplit/>
        </w:trPr>
        <w:tc>
          <w:tcPr>
            <w:tcW w:type="dxa" w:w="1584"/>
            <w:tcMar>
              <w:top w:w="80" w:type="dxa"/>
              <w:start w:w="90" w:type="dxa"/>
              <w:bottom w:w="80" w:type="dxa"/>
              <w:end w:w="90" w:type="dxa"/>
            </w:tcMar>
            <w:shd w:fill="F7F9FB"/>
            <w:vAlign w:val="top"/>
          </w:tcPr>
          <w:p>
            <w:pPr>
              <w:spacing w:after="0"/>
            </w:pPr>
            <w:r>
              <w:rPr>
                <w:color w:val="1F2933"/>
                <w:sz w:val="16"/>
              </w:rPr>
              <w:t>Analytical</w:t>
            </w:r>
          </w:p>
        </w:tc>
        <w:tc>
          <w:tcPr>
            <w:tcW w:type="dxa" w:w="2160"/>
            <w:tcMar>
              <w:top w:w="80" w:type="dxa"/>
              <w:start w:w="90" w:type="dxa"/>
              <w:bottom w:w="80" w:type="dxa"/>
              <w:end w:w="90" w:type="dxa"/>
            </w:tcMar>
            <w:shd w:fill="F7F9FB"/>
            <w:vAlign w:val="top"/>
          </w:tcPr>
          <w:p>
            <w:pPr>
              <w:spacing w:after="0"/>
            </w:pPr>
            <w:r>
              <w:rPr>
                <w:color w:val="1F2933"/>
                <w:sz w:val="16"/>
              </w:rPr>
              <w:t>Parquet + DuckDB</w:t>
            </w:r>
          </w:p>
        </w:tc>
        <w:tc>
          <w:tcPr>
            <w:tcW w:type="dxa" w:w="5760"/>
            <w:tcMar>
              <w:top w:w="80" w:type="dxa"/>
              <w:start w:w="90" w:type="dxa"/>
              <w:bottom w:w="80" w:type="dxa"/>
              <w:end w:w="90" w:type="dxa"/>
            </w:tcMar>
            <w:shd w:fill="F7F9FB"/>
            <w:vAlign w:val="top"/>
          </w:tcPr>
          <w:p>
            <w:pPr>
              <w:spacing w:after="0"/>
            </w:pPr>
            <w:r>
              <w:rPr>
                <w:color w:val="1F2933"/>
                <w:sz w:val="16"/>
              </w:rPr>
              <w:t>Historical scans, joins, feature research, backtests and reports.</w:t>
            </w:r>
          </w:p>
        </w:tc>
      </w:tr>
      <w:tr>
        <w:trPr>
          <w:cantSplit/>
        </w:trPr>
        <w:tc>
          <w:tcPr>
            <w:tcW w:type="dxa" w:w="1584"/>
            <w:tcMar>
              <w:top w:w="80" w:type="dxa"/>
              <w:start w:w="90" w:type="dxa"/>
              <w:bottom w:w="80" w:type="dxa"/>
              <w:end w:w="90" w:type="dxa"/>
            </w:tcMar>
            <w:vAlign w:val="top"/>
          </w:tcPr>
          <w:p>
            <w:pPr>
              <w:spacing w:after="0"/>
            </w:pPr>
            <w:r>
              <w:rPr>
                <w:color w:val="1F2933"/>
                <w:sz w:val="16"/>
              </w:rPr>
              <w:t>Transactional</w:t>
            </w:r>
          </w:p>
        </w:tc>
        <w:tc>
          <w:tcPr>
            <w:tcW w:type="dxa" w:w="2160"/>
            <w:tcMar>
              <w:top w:w="80" w:type="dxa"/>
              <w:start w:w="90" w:type="dxa"/>
              <w:bottom w:w="80" w:type="dxa"/>
              <w:end w:w="90" w:type="dxa"/>
            </w:tcMar>
            <w:vAlign w:val="top"/>
          </w:tcPr>
          <w:p>
            <w:pPr>
              <w:spacing w:after="0"/>
            </w:pPr>
            <w:r>
              <w:rPr>
                <w:color w:val="1F2933"/>
                <w:sz w:val="16"/>
              </w:rPr>
              <w:t>PostgreSQL</w:t>
            </w:r>
          </w:p>
        </w:tc>
        <w:tc>
          <w:tcPr>
            <w:tcW w:type="dxa" w:w="5760"/>
            <w:tcMar>
              <w:top w:w="80" w:type="dxa"/>
              <w:start w:w="90" w:type="dxa"/>
              <w:bottom w:w="80" w:type="dxa"/>
              <w:end w:w="90" w:type="dxa"/>
            </w:tcMar>
            <w:vAlign w:val="top"/>
          </w:tcPr>
          <w:p>
            <w:pPr>
              <w:spacing w:after="0"/>
            </w:pPr>
            <w:r>
              <w:rPr>
                <w:color w:val="1F2933"/>
                <w:sz w:val="16"/>
              </w:rPr>
              <w:t>Configs, versions, experiments, decisions, orders, fills, positions, audit, reconciliation.</w:t>
            </w:r>
          </w:p>
        </w:tc>
      </w:tr>
      <w:tr>
        <w:trPr>
          <w:cantSplit/>
        </w:trPr>
        <w:tc>
          <w:tcPr>
            <w:tcW w:type="dxa" w:w="1584"/>
            <w:tcMar>
              <w:top w:w="80" w:type="dxa"/>
              <w:start w:w="90" w:type="dxa"/>
              <w:bottom w:w="80" w:type="dxa"/>
              <w:end w:w="90" w:type="dxa"/>
            </w:tcMar>
            <w:shd w:fill="F7F9FB"/>
            <w:vAlign w:val="top"/>
          </w:tcPr>
          <w:p>
            <w:pPr>
              <w:spacing w:after="0"/>
            </w:pPr>
            <w:r>
              <w:rPr>
                <w:color w:val="1F2933"/>
                <w:sz w:val="16"/>
              </w:rPr>
              <w:t>Hot state</w:t>
            </w:r>
          </w:p>
        </w:tc>
        <w:tc>
          <w:tcPr>
            <w:tcW w:type="dxa" w:w="2160"/>
            <w:tcMar>
              <w:top w:w="80" w:type="dxa"/>
              <w:start w:w="90" w:type="dxa"/>
              <w:bottom w:w="80" w:type="dxa"/>
              <w:end w:w="90" w:type="dxa"/>
            </w:tcMar>
            <w:shd w:fill="F7F9FB"/>
            <w:vAlign w:val="top"/>
          </w:tcPr>
          <w:p>
            <w:pPr>
              <w:spacing w:after="0"/>
            </w:pPr>
            <w:r>
              <w:rPr>
                <w:color w:val="1F2933"/>
                <w:sz w:val="16"/>
              </w:rPr>
              <w:t>In-memory + Redis</w:t>
            </w:r>
          </w:p>
        </w:tc>
        <w:tc>
          <w:tcPr>
            <w:tcW w:type="dxa" w:w="5760"/>
            <w:tcMar>
              <w:top w:w="80" w:type="dxa"/>
              <w:start w:w="90" w:type="dxa"/>
              <w:bottom w:w="80" w:type="dxa"/>
              <w:end w:w="90" w:type="dxa"/>
            </w:tcMar>
            <w:shd w:fill="F7F9FB"/>
            <w:vAlign w:val="top"/>
          </w:tcPr>
          <w:p>
            <w:pPr>
              <w:spacing w:after="0"/>
            </w:pPr>
            <w:r>
              <w:rPr>
                <w:color w:val="1F2933"/>
                <w:sz w:val="16"/>
              </w:rPr>
              <w:t>Latest quotes, state snapshots, idempotency keys, locks, ephemeral runtime state.</w:t>
            </w:r>
          </w:p>
        </w:tc>
      </w:tr>
      <w:tr>
        <w:trPr>
          <w:cantSplit/>
        </w:trPr>
        <w:tc>
          <w:tcPr>
            <w:tcW w:type="dxa" w:w="1584"/>
            <w:tcMar>
              <w:top w:w="80" w:type="dxa"/>
              <w:start w:w="90" w:type="dxa"/>
              <w:bottom w:w="80" w:type="dxa"/>
              <w:end w:w="90" w:type="dxa"/>
            </w:tcMar>
            <w:vAlign w:val="top"/>
          </w:tcPr>
          <w:p>
            <w:pPr>
              <w:spacing w:after="0"/>
            </w:pPr>
            <w:r>
              <w:rPr>
                <w:color w:val="1F2933"/>
                <w:sz w:val="16"/>
              </w:rPr>
              <w:t>Metrics</w:t>
            </w:r>
          </w:p>
        </w:tc>
        <w:tc>
          <w:tcPr>
            <w:tcW w:type="dxa" w:w="2160"/>
            <w:tcMar>
              <w:top w:w="80" w:type="dxa"/>
              <w:start w:w="90" w:type="dxa"/>
              <w:bottom w:w="80" w:type="dxa"/>
              <w:end w:w="90" w:type="dxa"/>
            </w:tcMar>
            <w:vAlign w:val="top"/>
          </w:tcPr>
          <w:p>
            <w:pPr>
              <w:spacing w:after="0"/>
            </w:pPr>
            <w:r>
              <w:rPr>
                <w:color w:val="1F2933"/>
                <w:sz w:val="16"/>
              </w:rPr>
              <w:t>Prometheus</w:t>
            </w:r>
          </w:p>
        </w:tc>
        <w:tc>
          <w:tcPr>
            <w:tcW w:type="dxa" w:w="5760"/>
            <w:tcMar>
              <w:top w:w="80" w:type="dxa"/>
              <w:start w:w="90" w:type="dxa"/>
              <w:bottom w:w="80" w:type="dxa"/>
              <w:end w:w="90" w:type="dxa"/>
            </w:tcMar>
            <w:vAlign w:val="top"/>
          </w:tcPr>
          <w:p>
            <w:pPr>
              <w:spacing w:after="0"/>
            </w:pPr>
            <w:r>
              <w:rPr>
                <w:color w:val="1F2933"/>
                <w:sz w:val="16"/>
              </w:rPr>
              <w:t>Latency, freshness, queues, broker health, risk/system gauges.</w:t>
            </w:r>
          </w:p>
        </w:tc>
      </w:tr>
      <w:tr>
        <w:trPr>
          <w:cantSplit/>
        </w:trPr>
        <w:tc>
          <w:tcPr>
            <w:tcW w:type="dxa" w:w="1584"/>
            <w:tcMar>
              <w:top w:w="80" w:type="dxa"/>
              <w:start w:w="90" w:type="dxa"/>
              <w:bottom w:w="80" w:type="dxa"/>
              <w:end w:w="90" w:type="dxa"/>
            </w:tcMar>
            <w:shd w:fill="F7F9FB"/>
            <w:vAlign w:val="top"/>
          </w:tcPr>
          <w:p>
            <w:pPr>
              <w:spacing w:after="0"/>
            </w:pPr>
            <w:r>
              <w:rPr>
                <w:color w:val="1F2933"/>
                <w:sz w:val="16"/>
              </w:rPr>
              <w:t>Dashboard</w:t>
            </w:r>
          </w:p>
        </w:tc>
        <w:tc>
          <w:tcPr>
            <w:tcW w:type="dxa" w:w="2160"/>
            <w:tcMar>
              <w:top w:w="80" w:type="dxa"/>
              <w:start w:w="90" w:type="dxa"/>
              <w:bottom w:w="80" w:type="dxa"/>
              <w:end w:w="90" w:type="dxa"/>
            </w:tcMar>
            <w:shd w:fill="F7F9FB"/>
            <w:vAlign w:val="top"/>
          </w:tcPr>
          <w:p>
            <w:pPr>
              <w:spacing w:after="0"/>
            </w:pPr>
            <w:r>
              <w:rPr>
                <w:color w:val="1F2933"/>
                <w:sz w:val="16"/>
              </w:rPr>
              <w:t>Grafana</w:t>
            </w:r>
          </w:p>
        </w:tc>
        <w:tc>
          <w:tcPr>
            <w:tcW w:type="dxa" w:w="5760"/>
            <w:tcMar>
              <w:top w:w="80" w:type="dxa"/>
              <w:start w:w="90" w:type="dxa"/>
              <w:bottom w:w="80" w:type="dxa"/>
              <w:end w:w="90" w:type="dxa"/>
            </w:tcMar>
            <w:shd w:fill="F7F9FB"/>
            <w:vAlign w:val="top"/>
          </w:tcPr>
          <w:p>
            <w:pPr>
              <w:spacing w:after="0"/>
            </w:pPr>
            <w:r>
              <w:rPr>
                <w:color w:val="1F2933"/>
                <w:sz w:val="16"/>
              </w:rPr>
              <w:t>Operational and trading observability only; never a dependency of the hot path.</w:t>
            </w:r>
          </w:p>
        </w:tc>
      </w:tr>
    </w:tbl>
    <w:p>
      <w:pPr>
        <w:spacing w:after="0"/>
      </w:pPr>
    </w:p>
    <w:p>
      <w:pPr>
        <w:pStyle w:val="Heading2"/>
      </w:pPr>
      <w:r>
        <w:t>7.2 Point-in-time option-chain reconstruction</w:t>
      </w:r>
    </w:p>
    <w:p>
      <w:r>
        <w:t>Full option snapshots on every tick are wasteful. The preferred design is periodic full checkpoints plus incremental quote/OI/IV/Greeks deltas. Replay reconstructs the chain state valid at time T from the latest checkpoint plus only deltas received by T.</w:t>
      </w:r>
    </w:p>
    <w:tbl>
      <w:tblPr>
        <w:tblW w:type="auto" w:w="0"/>
        <w:jc w:val="center"/>
        <w:tblLook w:firstColumn="1" w:firstRow="1" w:lastColumn="0" w:lastRow="0" w:noHBand="0" w:noVBand="1" w:val="04A0"/>
      </w:tblPr>
      <w:tblGrid>
        <w:gridCol w:w="10282"/>
      </w:tblGrid>
      <w:tr>
        <w:tc>
          <w:tcPr>
            <w:tcW w:type="dxa" w:w="10282"/>
            <w:shd w:fill="FFF1F0"/>
            <w:tcMar>
              <w:top w:w="120" w:type="dxa"/>
              <w:start w:w="160" w:type="dxa"/>
              <w:bottom w:w="120" w:type="dxa"/>
              <w:end w:w="160" w:type="dxa"/>
            </w:tcMar>
          </w:tcPr>
          <w:p>
            <w:r>
              <w:rPr>
                <w:b/>
                <w:color w:val="17365D"/>
              </w:rPr>
              <w:t xml:space="preserve">Invariant: </w:t>
            </w:r>
            <w:r>
              <w:t>A decision at time T must never use an option-chain value that arrived after T, even if that later value belongs to the same exchange timestamp.</w:t>
            </w:r>
          </w:p>
        </w:tc>
      </w:tr>
    </w:tbl>
    <w:p>
      <w:pPr>
        <w:spacing w:after="0"/>
      </w:pPr>
    </w:p>
    <w:p>
      <w:pPr>
        <w:pStyle w:val="Heading2"/>
      </w:pPr>
      <w:r>
        <w:t>7.3 Watermark and freshness state</w:t>
      </w:r>
    </w:p>
    <w:p>
      <w:pPr>
        <w:pStyle w:val="ListBullet"/>
        <w:spacing w:after="40"/>
      </w:pPr>
      <w:r>
        <w:t>Track age of required quotes by instrument/contract rather than one global feed age.</w:t>
      </w:r>
    </w:p>
    <w:p>
      <w:pPr>
        <w:pStyle w:val="ListBullet"/>
        <w:spacing w:after="40"/>
      </w:pPr>
      <w:r>
        <w:t>Record oldest required event, newest event, chain completeness and source divergence.</w:t>
      </w:r>
    </w:p>
    <w:p>
      <w:pPr>
        <w:pStyle w:val="ListBullet"/>
        <w:spacing w:after="40"/>
      </w:pPr>
      <w:r>
        <w:t>Allow high signal confidence + low data confidence to resolve to NO TRADE.</w:t>
      </w:r>
    </w:p>
    <w:p>
      <w:pPr>
        <w:pStyle w:val="ListBullet"/>
        <w:spacing w:after="40"/>
      </w:pPr>
      <w:r>
        <w:t>Use monotonic time for latency durations and wall/exchange time for event chronology.</w:t>
      </w:r>
    </w:p>
    <w:p>
      <w:pPr>
        <w:pStyle w:val="ListBullet"/>
        <w:spacing w:after="40"/>
      </w:pPr>
      <w:r>
        <w:t>Reference data, fees, lot sizes, expiry calendars and compliance rules must be effective-dated.</w:t>
      </w:r>
    </w:p>
    <w:p>
      <w:pPr>
        <w:pStyle w:val="Heading2"/>
      </w:pPr>
      <w:r>
        <w:t>7.4 Feature lineage</w:t>
      </w:r>
    </w:p>
    <w:p>
      <w:r>
        <w:t>Every material feature should be traceable to implementation/version, dataset/reference version, instrument, exact input timestamps and source. A live trade should be reconstructable backwards: Trade → RiskDecision → OptionCandidate → Opportunity → Signal → Regime/Structure → FeatureVector → MarketState → Raw Events.</w:t>
      </w:r>
    </w:p>
    <w:p>
      <w:r>
        <w:br w:type="page"/>
      </w:r>
    </w:p>
    <w:p>
      <w:pPr>
        <w:pStyle w:val="Heading1"/>
      </w:pPr>
      <w:r>
        <w:t>8. Performance and Efficiency Architecture</w:t>
      </w:r>
    </w:p>
    <w:p>
      <w:pPr>
        <w:jc w:val="center"/>
      </w:pPr>
      <w:r>
        <w:drawing>
          <wp:inline xmlns:a="http://schemas.openxmlformats.org/drawingml/2006/main" xmlns:pic="http://schemas.openxmlformats.org/drawingml/2006/picture">
            <wp:extent cx="6172200" cy="266187"/>
            <wp:docPr id="5" name="Picture 5"/>
            <wp:cNvGraphicFramePr>
              <a:graphicFrameLocks noChangeAspect="1"/>
            </wp:cNvGraphicFramePr>
            <a:graphic>
              <a:graphicData uri="http://schemas.openxmlformats.org/drawingml/2006/picture">
                <pic:pic>
                  <pic:nvPicPr>
                    <pic:cNvPr id="0" name="hot_path.png"/>
                    <pic:cNvPicPr/>
                  </pic:nvPicPr>
                  <pic:blipFill>
                    <a:blip r:embed="rId15"/>
                    <a:stretch>
                      <a:fillRect/>
                    </a:stretch>
                  </pic:blipFill>
                  <pic:spPr>
                    <a:xfrm>
                      <a:off x="0" y="0"/>
                      <a:ext cx="6172200" cy="266187"/>
                    </a:xfrm>
                    <a:prstGeom prst="rect"/>
                  </pic:spPr>
                </pic:pic>
              </a:graphicData>
            </a:graphic>
          </wp:inline>
        </w:drawing>
      </w:r>
    </w:p>
    <w:p>
      <w:pPr>
        <w:spacing w:after="120"/>
        <w:jc w:val="center"/>
      </w:pPr>
      <w:r>
        <w:rPr>
          <w:i/>
          <w:color w:val="5A6670"/>
          <w:sz w:val="17"/>
        </w:rPr>
        <w:t>Figure 5 — Hot path: lean event-driven processing, incremental state and only affected computations.</w:t>
      </w:r>
    </w:p>
    <w:p>
      <w:pPr>
        <w:pStyle w:val="Heading2"/>
      </w:pPr>
      <w:r>
        <w:t>8.1 Hot / warm / cold paths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17365D"/>
            <w:tcMar>
              <w:top w:w="80" w:type="dxa"/>
              <w:start w:w="90" w:type="dxa"/>
              <w:bottom w:w="80" w:type="dxa"/>
              <w:end w:w="90" w:type="dxa"/>
            </w:tcMar>
            <w:vAlign w:val="center"/>
          </w:tcPr>
          <w:p>
            <w:pPr>
              <w:jc w:val="center"/>
            </w:pPr>
            <w:r>
              <w:rPr>
                <w:b/>
                <w:color w:val="FFFFFF"/>
                <w:sz w:val="16"/>
              </w:rPr>
              <w:t>Path</w:t>
            </w:r>
          </w:p>
        </w:tc>
        <w:tc>
          <w:tcPr>
            <w:tcW w:type="dxa" w:w="3888"/>
            <w:shd w:fill="17365D"/>
            <w:tcMar>
              <w:top w:w="80" w:type="dxa"/>
              <w:start w:w="90" w:type="dxa"/>
              <w:bottom w:w="80" w:type="dxa"/>
              <w:end w:w="90" w:type="dxa"/>
            </w:tcMar>
            <w:vAlign w:val="center"/>
          </w:tcPr>
          <w:p>
            <w:pPr>
              <w:jc w:val="center"/>
            </w:pPr>
            <w:r>
              <w:rPr>
                <w:b/>
                <w:color w:val="FFFFFF"/>
                <w:sz w:val="16"/>
              </w:rPr>
              <w:t>Examples</w:t>
            </w:r>
          </w:p>
        </w:tc>
        <w:tc>
          <w:tcPr>
            <w:tcW w:type="dxa" w:w="4464"/>
            <w:shd w:fill="17365D"/>
            <w:tcMar>
              <w:top w:w="80" w:type="dxa"/>
              <w:start w:w="90" w:type="dxa"/>
              <w:bottom w:w="80" w:type="dxa"/>
              <w:end w:w="90" w:type="dxa"/>
            </w:tcMar>
            <w:vAlign w:val="center"/>
          </w:tcPr>
          <w:p>
            <w:pPr>
              <w:jc w:val="center"/>
            </w:pPr>
            <w:r>
              <w:rPr>
                <w:b/>
                <w:color w:val="FFFFFF"/>
                <w:sz w:val="16"/>
              </w:rPr>
              <w:t>Rule</w:t>
            </w:r>
          </w:p>
        </w:tc>
      </w:tr>
      <w:tr>
        <w:trPr>
          <w:cantSplit/>
        </w:trPr>
        <w:tc>
          <w:tcPr>
            <w:tcW w:type="dxa" w:w="1152"/>
            <w:tcMar>
              <w:top w:w="80" w:type="dxa"/>
              <w:start w:w="90" w:type="dxa"/>
              <w:bottom w:w="80" w:type="dxa"/>
              <w:end w:w="90" w:type="dxa"/>
            </w:tcMar>
            <w:vAlign w:val="top"/>
          </w:tcPr>
          <w:p>
            <w:pPr>
              <w:spacing w:after="0"/>
            </w:pPr>
            <w:r>
              <w:rPr>
                <w:color w:val="1F2933"/>
                <w:sz w:val="16"/>
              </w:rPr>
              <w:t>HOT</w:t>
            </w:r>
          </w:p>
        </w:tc>
        <w:tc>
          <w:tcPr>
            <w:tcW w:type="dxa" w:w="3888"/>
            <w:tcMar>
              <w:top w:w="80" w:type="dxa"/>
              <w:start w:w="90" w:type="dxa"/>
              <w:bottom w:w="80" w:type="dxa"/>
              <w:end w:w="90" w:type="dxa"/>
            </w:tcMar>
            <w:vAlign w:val="top"/>
          </w:tcPr>
          <w:p>
            <w:pPr>
              <w:spacing w:after="0"/>
            </w:pPr>
            <w:r>
              <w:rPr>
                <w:color w:val="1F2933"/>
                <w:sz w:val="16"/>
              </w:rPr>
              <w:t>quotes, state, incremental features, signal, option economics, risk, execution</w:t>
            </w:r>
          </w:p>
        </w:tc>
        <w:tc>
          <w:tcPr>
            <w:tcW w:type="dxa" w:w="4464"/>
            <w:tcMar>
              <w:top w:w="80" w:type="dxa"/>
              <w:start w:w="90" w:type="dxa"/>
              <w:bottom w:w="80" w:type="dxa"/>
              <w:end w:w="90" w:type="dxa"/>
            </w:tcMar>
            <w:vAlign w:val="top"/>
          </w:tcPr>
          <w:p>
            <w:pPr>
              <w:spacing w:after="0"/>
            </w:pPr>
            <w:r>
              <w:rPr>
                <w:color w:val="1F2933"/>
                <w:sz w:val="16"/>
              </w:rPr>
              <w:t>Low latency; bounded work; no large DB queries/LLM/training.</w:t>
            </w:r>
          </w:p>
        </w:tc>
      </w:tr>
      <w:tr>
        <w:trPr>
          <w:cantSplit/>
        </w:trPr>
        <w:tc>
          <w:tcPr>
            <w:tcW w:type="dxa" w:w="1152"/>
            <w:tcMar>
              <w:top w:w="80" w:type="dxa"/>
              <w:start w:w="90" w:type="dxa"/>
              <w:bottom w:w="80" w:type="dxa"/>
              <w:end w:w="90" w:type="dxa"/>
            </w:tcMar>
            <w:shd w:fill="F7F9FB"/>
            <w:vAlign w:val="top"/>
          </w:tcPr>
          <w:p>
            <w:pPr>
              <w:spacing w:after="0"/>
            </w:pPr>
            <w:r>
              <w:rPr>
                <w:color w:val="1F2933"/>
                <w:sz w:val="16"/>
              </w:rPr>
              <w:t>WARM</w:t>
            </w:r>
          </w:p>
        </w:tc>
        <w:tc>
          <w:tcPr>
            <w:tcW w:type="dxa" w:w="3888"/>
            <w:tcMar>
              <w:top w:w="80" w:type="dxa"/>
              <w:start w:w="90" w:type="dxa"/>
              <w:bottom w:w="80" w:type="dxa"/>
              <w:end w:w="90" w:type="dxa"/>
            </w:tcMar>
            <w:shd w:fill="F7F9FB"/>
            <w:vAlign w:val="top"/>
          </w:tcPr>
          <w:p>
            <w:pPr>
              <w:spacing w:after="0"/>
            </w:pPr>
            <w:r>
              <w:rPr>
                <w:color w:val="1F2933"/>
                <w:sz w:val="16"/>
              </w:rPr>
              <w:t>structure enrichment, strategy health, TCA, PnL attribution, noncritical analytics</w:t>
            </w:r>
          </w:p>
        </w:tc>
        <w:tc>
          <w:tcPr>
            <w:tcW w:type="dxa" w:w="4464"/>
            <w:tcMar>
              <w:top w:w="80" w:type="dxa"/>
              <w:start w:w="90" w:type="dxa"/>
              <w:bottom w:w="80" w:type="dxa"/>
              <w:end w:w="90" w:type="dxa"/>
            </w:tcMar>
            <w:shd w:fill="F7F9FB"/>
            <w:vAlign w:val="top"/>
          </w:tcPr>
          <w:p>
            <w:pPr>
              <w:spacing w:after="0"/>
            </w:pPr>
            <w:r>
              <w:rPr>
                <w:color w:val="1F2933"/>
                <w:sz w:val="16"/>
              </w:rPr>
              <w:t>May lag modestly; cannot block execution.</w:t>
            </w:r>
          </w:p>
        </w:tc>
      </w:tr>
      <w:tr>
        <w:trPr>
          <w:cantSplit/>
        </w:trPr>
        <w:tc>
          <w:tcPr>
            <w:tcW w:type="dxa" w:w="1152"/>
            <w:tcMar>
              <w:top w:w="80" w:type="dxa"/>
              <w:start w:w="90" w:type="dxa"/>
              <w:bottom w:w="80" w:type="dxa"/>
              <w:end w:w="90" w:type="dxa"/>
            </w:tcMar>
            <w:vAlign w:val="top"/>
          </w:tcPr>
          <w:p>
            <w:pPr>
              <w:spacing w:after="0"/>
            </w:pPr>
            <w:r>
              <w:rPr>
                <w:color w:val="1F2933"/>
                <w:sz w:val="16"/>
              </w:rPr>
              <w:t>COLD</w:t>
            </w:r>
          </w:p>
        </w:tc>
        <w:tc>
          <w:tcPr>
            <w:tcW w:type="dxa" w:w="3888"/>
            <w:tcMar>
              <w:top w:w="80" w:type="dxa"/>
              <w:start w:w="90" w:type="dxa"/>
              <w:bottom w:w="80" w:type="dxa"/>
              <w:end w:w="90" w:type="dxa"/>
            </w:tcMar>
            <w:vAlign w:val="top"/>
          </w:tcPr>
          <w:p>
            <w:pPr>
              <w:spacing w:after="0"/>
            </w:pPr>
            <w:r>
              <w:rPr>
                <w:color w:val="1F2933"/>
                <w:sz w:val="16"/>
              </w:rPr>
              <w:t>backtests, ML training, large DuckDB scans, reports, LLM research</w:t>
            </w:r>
          </w:p>
        </w:tc>
        <w:tc>
          <w:tcPr>
            <w:tcW w:type="dxa" w:w="4464"/>
            <w:tcMar>
              <w:top w:w="80" w:type="dxa"/>
              <w:start w:w="90" w:type="dxa"/>
              <w:bottom w:w="80" w:type="dxa"/>
              <w:end w:w="90" w:type="dxa"/>
            </w:tcMar>
            <w:vAlign w:val="top"/>
          </w:tcPr>
          <w:p>
            <w:pPr>
              <w:spacing w:after="0"/>
            </w:pPr>
            <w:r>
              <w:rPr>
                <w:color w:val="1F2933"/>
                <w:sz w:val="16"/>
              </w:rPr>
              <w:t>Completely off live order path.</w:t>
            </w:r>
          </w:p>
        </w:tc>
      </w:tr>
    </w:tbl>
    <w:p>
      <w:pPr>
        <w:spacing w:after="0"/>
      </w:pPr>
    </w:p>
    <w:p>
      <w:pPr>
        <w:pStyle w:val="Heading2"/>
      </w:pPr>
      <w:r>
        <w:t>8.2 Feature Dependency DAG</w:t>
      </w:r>
    </w:p>
    <w:p>
      <w:r>
        <w:t>New events invalidate only dependent nodes. A tick updates quote/current candle; a 1-minute close updates 1-minute features; a swing change updates structure/Fibonacci; deep option ranking runs only when an underlying opportunity is viable. This avoids recalculating every timeframe and indicator on every tick.</w:t>
      </w:r>
    </w:p>
    <w:p>
      <w:pPr>
        <w:pStyle w:val="Heading2"/>
      </w:pPr>
      <w:r>
        <w:t>8.3 Dynamic option universe</w:t>
      </w:r>
    </w:p>
    <w:p>
      <w:pPr>
        <w:pStyle w:val="ListBullet"/>
        <w:spacing w:after="40"/>
      </w:pPr>
      <w:r>
        <w:t>Start from complete instrument master, but subscribe/analyse deeply only relevant expiries and strike windows.</w:t>
      </w:r>
    </w:p>
    <w:p>
      <w:pPr>
        <w:pStyle w:val="ListBullet"/>
        <w:spacing w:after="40"/>
      </w:pPr>
      <w:r>
        <w:t>Use cheap liquidity/moneyness/delta filters before expensive Greeks/EV/ranking logic.</w:t>
      </w:r>
    </w:p>
    <w:p>
      <w:pPr>
        <w:pStyle w:val="ListBullet"/>
        <w:spacing w:after="40"/>
      </w:pPr>
      <w:r>
        <w:t>Adapt the candidate window as spot, volatility and expiry conditions change.</w:t>
      </w:r>
    </w:p>
    <w:p>
      <w:pPr>
        <w:pStyle w:val="ListBullet"/>
        <w:spacing w:after="40"/>
      </w:pPr>
      <w:r>
        <w:t>Record why a contract was excluded so research can detect over-filtering.</w:t>
      </w:r>
    </w:p>
    <w:p>
      <w:pPr>
        <w:pStyle w:val="Heading2"/>
      </w:pPr>
      <w:r>
        <w:t>8.4 Backpressure</w:t>
      </w:r>
    </w:p>
    <w:p>
      <w:r>
        <w:t>Queues must be bounded. Intermediate market quote updates may be coalesced when safe, but order, fill, risk, kill-switch and reconciliation events are never dropped. Monitor queue depth, event lag, processing lag and coalesced/dropped market updates.</w:t>
      </w:r>
    </w:p>
    <w:p>
      <w:r>
        <w:br w:type="page"/>
      </w:r>
    </w:p>
    <w:p>
      <w:pPr>
        <w:pStyle w:val="Heading1"/>
      </w:pPr>
      <w:r>
        <w:t>9. Capital, Risk, Safety and Execution</w:t>
      </w:r>
    </w:p>
    <w:p>
      <w:pPr>
        <w:pStyle w:val="Heading2"/>
      </w:pPr>
      <w:r>
        <w:t>9.1 Capital hierarchy</w:t>
      </w:r>
    </w:p>
    <w:p>
      <w:r>
        <w:t>Capital allocation is separate from signal generation: Total Capital → Portfolio Risk Budget → Index/Strategy Allocation → Opportunity Budget → Position Size. Correlated NIFTY/BANKNIFTY/SENSEX signals are treated as shared directional exposure, not three independent bets.</w:t>
      </w:r>
    </w:p>
    <w:p>
      <w:pPr>
        <w:pStyle w:val="Heading2"/>
      </w:pPr>
      <w:r>
        <w:t>9.2 Safety Kernel — final gate</w:t>
      </w:r>
    </w:p>
    <w:p>
      <w:pPr>
        <w:pStyle w:val="ListBullet"/>
        <w:spacing w:after="40"/>
      </w:pPr>
      <w:r>
        <w:t>Trading/system state permits new risk.</w:t>
      </w:r>
    </w:p>
    <w:p>
      <w:pPr>
        <w:pStyle w:val="ListBullet"/>
        <w:spacing w:after="40"/>
      </w:pPr>
      <w:r>
        <w:t>Decision has not exceeded valid_until / market-age TTL.</w:t>
      </w:r>
    </w:p>
    <w:p>
      <w:pPr>
        <w:pStyle w:val="ListBullet"/>
        <w:spacing w:after="40"/>
      </w:pPr>
      <w:r>
        <w:t>Required data is fresh and complete.</w:t>
      </w:r>
    </w:p>
    <w:p>
      <w:pPr>
        <w:pStyle w:val="ListBullet"/>
        <w:spacing w:after="40"/>
      </w:pPr>
      <w:r>
        <w:t>No unresolved broker/internal mismatch or UNKNOWN order risk.</w:t>
      </w:r>
    </w:p>
    <w:p>
      <w:pPr>
        <w:pStyle w:val="ListBullet"/>
        <w:spacing w:after="40"/>
      </w:pPr>
      <w:r>
        <w:t>Hard quantity/notional/daily loss/portfolio limits pass.</w:t>
      </w:r>
    </w:p>
    <w:p>
      <w:pPr>
        <w:pStyle w:val="ListBullet"/>
        <w:spacing w:after="40"/>
      </w:pPr>
      <w:r>
        <w:t>Credentials/broker session are valid.</w:t>
      </w:r>
    </w:p>
    <w:p>
      <w:pPr>
        <w:pStyle w:val="ListBullet"/>
        <w:spacing w:after="40"/>
      </w:pPr>
      <w:r>
        <w:t>Regulatory/broker rate budget is available.</w:t>
      </w:r>
    </w:p>
    <w:p>
      <w:pPr>
        <w:pStyle w:val="ListBullet"/>
        <w:spacing w:after="40"/>
      </w:pPr>
      <w:r>
        <w:t>Kill-switch hierarchy allows this instrument/strategy/order.</w:t>
      </w:r>
    </w:p>
    <w:tbl>
      <w:tblPr>
        <w:tblW w:type="auto" w:w="0"/>
        <w:jc w:val="center"/>
        <w:tblLook w:firstColumn="1" w:firstRow="1" w:lastColumn="0" w:lastRow="0" w:noHBand="0" w:noVBand="1" w:val="04A0"/>
      </w:tblPr>
      <w:tblGrid>
        <w:gridCol w:w="10282"/>
      </w:tblGrid>
      <w:tr>
        <w:tc>
          <w:tcPr>
            <w:tcW w:type="dxa" w:w="10282"/>
            <w:shd w:fill="FFF7E7"/>
            <w:tcMar>
              <w:top w:w="120" w:type="dxa"/>
              <w:start w:w="160" w:type="dxa"/>
              <w:bottom w:w="120" w:type="dxa"/>
              <w:end w:w="160" w:type="dxa"/>
            </w:tcMar>
          </w:tcPr>
          <w:p>
            <w:r>
              <w:rPr>
                <w:b/>
                <w:color w:val="17365D"/>
              </w:rPr>
              <w:t xml:space="preserve">Pre-send revalidation: </w:t>
            </w:r>
            <w:r>
              <w:t>Immediately before transmission, re-check current option bid/ask, spread, liquidity, underlying movement, remaining opportunity, portfolio exposure, open orders, risk limits, TTL and kill switches. If economics changed materially, cancel the intent.</w:t>
            </w:r>
          </w:p>
        </w:tc>
      </w:tr>
    </w:tbl>
    <w:p>
      <w:pPr>
        <w:spacing w:after="0"/>
      </w:pPr>
    </w:p>
    <w:p>
      <w:pPr>
        <w:pStyle w:val="Heading2"/>
      </w:pPr>
      <w:r>
        <w:t>9.3 Kill-switch hierarchy and degradation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7365D"/>
            <w:tcMar>
              <w:top w:w="80" w:type="dxa"/>
              <w:start w:w="90" w:type="dxa"/>
              <w:bottom w:w="80" w:type="dxa"/>
              <w:end w:w="90" w:type="dxa"/>
            </w:tcMar>
            <w:vAlign w:val="center"/>
          </w:tcPr>
          <w:p>
            <w:pPr>
              <w:jc w:val="center"/>
            </w:pPr>
            <w:r>
              <w:rPr>
                <w:b/>
                <w:color w:val="FFFFFF"/>
                <w:sz w:val="16"/>
              </w:rPr>
              <w:t>Layer / mode</w:t>
            </w:r>
          </w:p>
        </w:tc>
        <w:tc>
          <w:tcPr>
            <w:tcW w:type="dxa" w:w="7344"/>
            <w:shd w:fill="17365D"/>
            <w:tcMar>
              <w:top w:w="80" w:type="dxa"/>
              <w:start w:w="90" w:type="dxa"/>
              <w:bottom w:w="80" w:type="dxa"/>
              <w:end w:w="90" w:type="dxa"/>
            </w:tcMar>
            <w:vAlign w:val="center"/>
          </w:tcPr>
          <w:p>
            <w:pPr>
              <w:jc w:val="center"/>
            </w:pPr>
            <w:r>
              <w:rPr>
                <w:b/>
                <w:color w:val="FFFFFF"/>
                <w:sz w:val="16"/>
              </w:rPr>
              <w:t>Examples</w:t>
            </w:r>
          </w:p>
        </w:tc>
      </w:tr>
      <w:tr>
        <w:trPr>
          <w:cantSplit/>
        </w:trPr>
        <w:tc>
          <w:tcPr>
            <w:tcW w:type="dxa" w:w="2160"/>
            <w:tcMar>
              <w:top w:w="80" w:type="dxa"/>
              <w:start w:w="90" w:type="dxa"/>
              <w:bottom w:w="80" w:type="dxa"/>
              <w:end w:w="90" w:type="dxa"/>
            </w:tcMar>
            <w:vAlign w:val="top"/>
          </w:tcPr>
          <w:p>
            <w:pPr>
              <w:spacing w:after="0"/>
            </w:pPr>
            <w:r>
              <w:rPr>
                <w:color w:val="1F2933"/>
                <w:sz w:val="16"/>
              </w:rPr>
              <w:t>Hierarchy</w:t>
            </w:r>
          </w:p>
        </w:tc>
        <w:tc>
          <w:tcPr>
            <w:tcW w:type="dxa" w:w="7344"/>
            <w:tcMar>
              <w:top w:w="80" w:type="dxa"/>
              <w:start w:w="90" w:type="dxa"/>
              <w:bottom w:w="80" w:type="dxa"/>
              <w:end w:w="90" w:type="dxa"/>
            </w:tcMar>
            <w:vAlign w:val="top"/>
          </w:tcPr>
          <w:p>
            <w:pPr>
              <w:spacing w:after="0"/>
            </w:pPr>
            <w:r>
              <w:rPr>
                <w:color w:val="1F2933"/>
                <w:sz w:val="16"/>
              </w:rPr>
              <w:t>GLOBAL → ENVIRONMENT → BROKER → PORTFOLIO → STRATEGY → INSTRUMENT → ORDER</w:t>
            </w:r>
          </w:p>
        </w:tc>
      </w:tr>
      <w:tr>
        <w:trPr>
          <w:cantSplit/>
        </w:trPr>
        <w:tc>
          <w:tcPr>
            <w:tcW w:type="dxa" w:w="2160"/>
            <w:tcMar>
              <w:top w:w="80" w:type="dxa"/>
              <w:start w:w="90" w:type="dxa"/>
              <w:bottom w:w="80" w:type="dxa"/>
              <w:end w:w="90" w:type="dxa"/>
            </w:tcMar>
            <w:shd w:fill="F7F9FB"/>
            <w:vAlign w:val="top"/>
          </w:tcPr>
          <w:p>
            <w:pPr>
              <w:spacing w:after="0"/>
            </w:pPr>
            <w:r>
              <w:rPr>
                <w:color w:val="1F2933"/>
                <w:sz w:val="16"/>
              </w:rPr>
              <w:t>HEALTHY</w:t>
            </w:r>
          </w:p>
        </w:tc>
        <w:tc>
          <w:tcPr>
            <w:tcW w:type="dxa" w:w="7344"/>
            <w:tcMar>
              <w:top w:w="80" w:type="dxa"/>
              <w:start w:w="90" w:type="dxa"/>
              <w:bottom w:w="80" w:type="dxa"/>
              <w:end w:w="90" w:type="dxa"/>
            </w:tcMar>
            <w:shd w:fill="F7F9FB"/>
            <w:vAlign w:val="top"/>
          </w:tcPr>
          <w:p>
            <w:pPr>
              <w:spacing w:after="0"/>
            </w:pPr>
            <w:r>
              <w:rPr>
                <w:color w:val="1F2933"/>
                <w:sz w:val="16"/>
              </w:rPr>
              <w:t>Full capability.</w:t>
            </w:r>
          </w:p>
        </w:tc>
      </w:tr>
      <w:tr>
        <w:trPr>
          <w:cantSplit/>
        </w:trPr>
        <w:tc>
          <w:tcPr>
            <w:tcW w:type="dxa" w:w="2160"/>
            <w:tcMar>
              <w:top w:w="80" w:type="dxa"/>
              <w:start w:w="90" w:type="dxa"/>
              <w:bottom w:w="80" w:type="dxa"/>
              <w:end w:w="90" w:type="dxa"/>
            </w:tcMar>
            <w:vAlign w:val="top"/>
          </w:tcPr>
          <w:p>
            <w:pPr>
              <w:spacing w:after="0"/>
            </w:pPr>
            <w:r>
              <w:rPr>
                <w:color w:val="1F2933"/>
                <w:sz w:val="16"/>
              </w:rPr>
              <w:t>DEGRADED</w:t>
            </w:r>
          </w:p>
        </w:tc>
        <w:tc>
          <w:tcPr>
            <w:tcW w:type="dxa" w:w="7344"/>
            <w:tcMar>
              <w:top w:w="80" w:type="dxa"/>
              <w:start w:w="90" w:type="dxa"/>
              <w:bottom w:w="80" w:type="dxa"/>
              <w:end w:w="90" w:type="dxa"/>
            </w:tcMar>
            <w:vAlign w:val="top"/>
          </w:tcPr>
          <w:p>
            <w:pPr>
              <w:spacing w:after="0"/>
            </w:pPr>
            <w:r>
              <w:rPr>
                <w:color w:val="1F2933"/>
                <w:sz w:val="16"/>
              </w:rPr>
              <w:t>Reduced features/capability but safety intact.</w:t>
            </w:r>
          </w:p>
        </w:tc>
      </w:tr>
      <w:tr>
        <w:trPr>
          <w:cantSplit/>
        </w:trPr>
        <w:tc>
          <w:tcPr>
            <w:tcW w:type="dxa" w:w="2160"/>
            <w:tcMar>
              <w:top w:w="80" w:type="dxa"/>
              <w:start w:w="90" w:type="dxa"/>
              <w:bottom w:w="80" w:type="dxa"/>
              <w:end w:w="90" w:type="dxa"/>
            </w:tcMar>
            <w:shd w:fill="F7F9FB"/>
            <w:vAlign w:val="top"/>
          </w:tcPr>
          <w:p>
            <w:pPr>
              <w:spacing w:after="0"/>
            </w:pPr>
            <w:r>
              <w:rPr>
                <w:color w:val="1F2933"/>
                <w:sz w:val="16"/>
              </w:rPr>
              <w:t>EXIT_ONLY</w:t>
            </w:r>
          </w:p>
        </w:tc>
        <w:tc>
          <w:tcPr>
            <w:tcW w:type="dxa" w:w="7344"/>
            <w:tcMar>
              <w:top w:w="80" w:type="dxa"/>
              <w:start w:w="90" w:type="dxa"/>
              <w:bottom w:w="80" w:type="dxa"/>
              <w:end w:w="90" w:type="dxa"/>
            </w:tcMar>
            <w:shd w:fill="F7F9FB"/>
            <w:vAlign w:val="top"/>
          </w:tcPr>
          <w:p>
            <w:pPr>
              <w:spacing w:after="0"/>
            </w:pPr>
            <w:r>
              <w:rPr>
                <w:color w:val="1F2933"/>
                <w:sz w:val="16"/>
              </w:rPr>
              <w:t>No new risk; manage/close existing positions.</w:t>
            </w:r>
          </w:p>
        </w:tc>
      </w:tr>
      <w:tr>
        <w:trPr>
          <w:cantSplit/>
        </w:trPr>
        <w:tc>
          <w:tcPr>
            <w:tcW w:type="dxa" w:w="2160"/>
            <w:tcMar>
              <w:top w:w="80" w:type="dxa"/>
              <w:start w:w="90" w:type="dxa"/>
              <w:bottom w:w="80" w:type="dxa"/>
              <w:end w:w="90" w:type="dxa"/>
            </w:tcMar>
            <w:vAlign w:val="top"/>
          </w:tcPr>
          <w:p>
            <w:pPr>
              <w:spacing w:after="0"/>
            </w:pPr>
            <w:r>
              <w:rPr>
                <w:color w:val="1F2933"/>
                <w:sz w:val="16"/>
              </w:rPr>
              <w:t>HALTED</w:t>
            </w:r>
          </w:p>
        </w:tc>
        <w:tc>
          <w:tcPr>
            <w:tcW w:type="dxa" w:w="7344"/>
            <w:tcMar>
              <w:top w:w="80" w:type="dxa"/>
              <w:start w:w="90" w:type="dxa"/>
              <w:bottom w:w="80" w:type="dxa"/>
              <w:end w:w="90" w:type="dxa"/>
            </w:tcMar>
            <w:vAlign w:val="top"/>
          </w:tcPr>
          <w:p>
            <w:pPr>
              <w:spacing w:after="0"/>
            </w:pPr>
            <w:r>
              <w:rPr>
                <w:color w:val="1F2933"/>
                <w:sz w:val="16"/>
              </w:rPr>
              <w:t>No automated trading until investigation/recovery.</w:t>
            </w:r>
          </w:p>
        </w:tc>
      </w:tr>
      <w:tr>
        <w:trPr>
          <w:cantSplit/>
        </w:trPr>
        <w:tc>
          <w:tcPr>
            <w:tcW w:type="dxa" w:w="2160"/>
            <w:tcMar>
              <w:top w:w="80" w:type="dxa"/>
              <w:start w:w="90" w:type="dxa"/>
              <w:bottom w:w="80" w:type="dxa"/>
              <w:end w:w="90" w:type="dxa"/>
            </w:tcMar>
            <w:shd w:fill="F7F9FB"/>
            <w:vAlign w:val="top"/>
          </w:tcPr>
          <w:p>
            <w:pPr>
              <w:spacing w:after="0"/>
            </w:pPr>
            <w:r>
              <w:rPr>
                <w:color w:val="1F2933"/>
                <w:sz w:val="16"/>
              </w:rPr>
              <w:t>EMERGENCY</w:t>
            </w:r>
          </w:p>
        </w:tc>
        <w:tc>
          <w:tcPr>
            <w:tcW w:type="dxa" w:w="7344"/>
            <w:tcMar>
              <w:top w:w="80" w:type="dxa"/>
              <w:start w:w="90" w:type="dxa"/>
              <w:bottom w:w="80" w:type="dxa"/>
              <w:end w:w="90" w:type="dxa"/>
            </w:tcMar>
            <w:shd w:fill="F7F9FB"/>
            <w:vAlign w:val="top"/>
          </w:tcPr>
          <w:p>
            <w:pPr>
              <w:spacing w:after="0"/>
            </w:pPr>
            <w:r>
              <w:rPr>
                <w:color w:val="1F2933"/>
                <w:sz w:val="16"/>
              </w:rPr>
              <w:t>Cancel/close according to predefined emergency policy.</w:t>
            </w:r>
          </w:p>
        </w:tc>
      </w:tr>
    </w:tbl>
    <w:p>
      <w:pPr>
        <w:spacing w:after="0"/>
      </w:pPr>
    </w:p>
    <w:p>
      <w:pPr>
        <w:pStyle w:val="Heading2"/>
      </w:pPr>
      <w:r>
        <w:t>9.4 Execution semantics</w:t>
      </w:r>
    </w:p>
    <w:p>
      <w:r>
        <w:t>Use PREPARE → PERSIST → SEND → ACK/UNKNOWN → RECONCILE semantics. Exactly-once execution across PostgreSQL and an external broker is not assumed. Idempotency keys and reconciliation provide safety. Partial fills immediately update real position/risk state.</w:t>
      </w:r>
    </w:p>
    <w:p>
      <w:r>
        <w:br w:type="page"/>
      </w:r>
    </w:p>
    <w:p>
      <w:pPr>
        <w:pStyle w:val="Heading1"/>
      </w:pPr>
      <w:r>
        <w:t>10. Research, Validation and Continuous Improvement</w:t>
      </w:r>
    </w:p>
    <w:p>
      <w:pPr>
        <w:jc w:val="center"/>
      </w:pPr>
      <w:r>
        <w:drawing>
          <wp:inline xmlns:a="http://schemas.openxmlformats.org/drawingml/2006/main" xmlns:pic="http://schemas.openxmlformats.org/drawingml/2006/picture">
            <wp:extent cx="6217920" cy="1217825"/>
            <wp:docPr id="6" name="Picture 6"/>
            <wp:cNvGraphicFramePr>
              <a:graphicFrameLocks noChangeAspect="1"/>
            </wp:cNvGraphicFramePr>
            <a:graphic>
              <a:graphicData uri="http://schemas.openxmlformats.org/drawingml/2006/picture">
                <pic:pic>
                  <pic:nvPicPr>
                    <pic:cNvPr id="0" name="research_flow.png"/>
                    <pic:cNvPicPr/>
                  </pic:nvPicPr>
                  <pic:blipFill>
                    <a:blip r:embed="rId16"/>
                    <a:stretch>
                      <a:fillRect/>
                    </a:stretch>
                  </pic:blipFill>
                  <pic:spPr>
                    <a:xfrm>
                      <a:off x="0" y="0"/>
                      <a:ext cx="6217920" cy="1217825"/>
                    </a:xfrm>
                    <a:prstGeom prst="rect"/>
                  </pic:spPr>
                </pic:pic>
              </a:graphicData>
            </a:graphic>
          </wp:inline>
        </w:drawing>
      </w:r>
    </w:p>
    <w:p>
      <w:pPr>
        <w:spacing w:after="120"/>
        <w:jc w:val="center"/>
      </w:pPr>
      <w:r>
        <w:rPr>
          <w:i/>
          <w:color w:val="5A6670"/>
          <w:sz w:val="17"/>
        </w:rPr>
        <w:t>Figure 6 — Promotion ladder. Research artifacts can reach capital only through validation and explicit approval gates.</w:t>
      </w:r>
    </w:p>
    <w:p>
      <w:pPr>
        <w:pStyle w:val="Heading2"/>
      </w:pPr>
      <w:r>
        <w:t>10.1 Baseline first</w:t>
      </w:r>
    </w:p>
    <w:p>
      <w:r>
        <w:t>EMA 14/20 + RSI 14/20 with the original multi-timeframe idea is Strategy Baseline V0, not a belief. Fibonacci, volume profile, OI, Greeks, breadth, futures basis, ML and every other feature remain research hypotheses until they add stable out-of-sample value after realistic costs.</w:t>
      </w:r>
    </w:p>
    <w:p>
      <w:pPr>
        <w:pStyle w:val="Heading2"/>
      </w:pPr>
      <w:r>
        <w:t>10.2 Experiment discipline</w:t>
      </w:r>
    </w:p>
    <w:p>
      <w:pPr>
        <w:pStyle w:val="ListBullet"/>
        <w:spacing w:after="40"/>
      </w:pPr>
      <w:r>
        <w:t>Every experiment gets ID, hypothesis, allowed parameter space, code/data/feature/model/config versions and train/validation/holdout periods.</w:t>
      </w:r>
    </w:p>
    <w:p>
      <w:pPr>
        <w:pStyle w:val="ListBullet"/>
        <w:spacing w:after="40"/>
      </w:pPr>
      <w:r>
        <w:t>No random cross-validation for time series by default; use temporal splits, walk-forward and gaps/embargo where relevant.</w:t>
      </w:r>
    </w:p>
    <w:p>
      <w:pPr>
        <w:pStyle w:val="ListBullet"/>
        <w:spacing w:after="40"/>
      </w:pPr>
      <w:r>
        <w:t>Use ablation to prove incremental value, not just total strategy profitability.</w:t>
      </w:r>
    </w:p>
    <w:p>
      <w:pPr>
        <w:pStyle w:val="ListBullet"/>
        <w:spacing w:after="40"/>
      </w:pPr>
      <w:r>
        <w:t>Protect final holdout from repeated tuning and record failed strategies in a Strategy Graveyard.</w:t>
      </w:r>
    </w:p>
    <w:p>
      <w:pPr>
        <w:pStyle w:val="ListBullet"/>
        <w:spacing w:after="40"/>
      </w:pPr>
      <w:r>
        <w:t>Track calibration/Brier score for probabilistic outputs and distinguish data drift from concept drift.</w:t>
      </w:r>
    </w:p>
    <w:p>
      <w:pPr>
        <w:pStyle w:val="ListBullet"/>
        <w:spacing w:after="40"/>
      </w:pPr>
      <w:r>
        <w:t>Use future-mutation leakage tests: alter all data after decision time; the earlier decision must not change.</w:t>
      </w:r>
    </w:p>
    <w:p>
      <w:pPr>
        <w:pStyle w:val="Heading2"/>
      </w:pPr>
      <w:r>
        <w:t>10.3 Champion / Challenger</w:t>
      </w:r>
    </w:p>
    <w:p>
      <w:r>
        <w:t>The approved champion may trade. Challengers consume the same live data in paper/shadow, producing hypothetical decisions for comparison. Neither research agents nor challengers may automatically replace the champion or increase live risk.</w:t>
      </w:r>
    </w:p>
    <w:p>
      <w:pPr>
        <w:pStyle w:val="Heading2"/>
      </w:pPr>
      <w:r>
        <w:t>10.4 Edge and P&amp;L decomposition</w:t>
      </w:r>
    </w:p>
    <w:p>
      <w:r>
        <w:t>Attribute results to direction/timing edge, option selection, IV effect, theta, spread, slippage, execution delay, fees and exit timing. This tells us which subsystem adds value and prevents optimizing the wrong component.</w:t>
      </w:r>
    </w:p>
    <w:p>
      <w:r>
        <w:br w:type="page"/>
      </w:r>
    </w:p>
    <w:p>
      <w:pPr>
        <w:pStyle w:val="Heading1"/>
      </w:pPr>
      <w:r>
        <w:t>11. Testing, Fault Injection and Recovery</w:t>
      </w:r>
    </w:p>
    <w:p>
      <w:pPr>
        <w:pStyle w:val="Heading2"/>
      </w:pPr>
      <w:r>
        <w:t>11.1 Test pyramid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7365D"/>
            <w:tcMar>
              <w:top w:w="80" w:type="dxa"/>
              <w:start w:w="90" w:type="dxa"/>
              <w:bottom w:w="80" w:type="dxa"/>
              <w:end w:w="90" w:type="dxa"/>
            </w:tcMar>
            <w:vAlign w:val="center"/>
          </w:tcPr>
          <w:p>
            <w:pPr>
              <w:jc w:val="center"/>
            </w:pPr>
            <w:r>
              <w:rPr>
                <w:b/>
                <w:color w:val="FFFFFF"/>
                <w:sz w:val="15"/>
              </w:rPr>
              <w:t>Layer</w:t>
            </w:r>
          </w:p>
        </w:tc>
        <w:tc>
          <w:tcPr>
            <w:tcW w:type="dxa" w:w="6624"/>
            <w:shd w:fill="17365D"/>
            <w:tcMar>
              <w:top w:w="80" w:type="dxa"/>
              <w:start w:w="90" w:type="dxa"/>
              <w:bottom w:w="80" w:type="dxa"/>
              <w:end w:w="90" w:type="dxa"/>
            </w:tcMar>
            <w:vAlign w:val="center"/>
          </w:tcPr>
          <w:p>
            <w:pPr>
              <w:jc w:val="center"/>
            </w:pPr>
            <w:r>
              <w:rPr>
                <w:b/>
                <w:color w:val="FFFFFF"/>
                <w:sz w:val="15"/>
              </w:rPr>
              <w:t>Examples</w:t>
            </w:r>
          </w:p>
        </w:tc>
        <w:tc>
          <w:tcPr>
            <w:tcW w:type="dxa" w:w="1008"/>
            <w:shd w:fill="17365D"/>
            <w:tcMar>
              <w:top w:w="80" w:type="dxa"/>
              <w:start w:w="90" w:type="dxa"/>
              <w:bottom w:w="80" w:type="dxa"/>
              <w:end w:w="90" w:type="dxa"/>
            </w:tcMar>
            <w:vAlign w:val="center"/>
          </w:tcPr>
          <w:p>
            <w:pPr>
              <w:jc w:val="center"/>
            </w:pPr>
            <w:r>
              <w:rPr>
                <w:b/>
                <w:color w:val="FFFFFF"/>
                <w:sz w:val="15"/>
              </w:rPr>
              <w:t>Blocking?</w:t>
            </w:r>
          </w:p>
        </w:tc>
      </w:tr>
      <w:tr>
        <w:trPr>
          <w:cantSplit/>
        </w:trPr>
        <w:tc>
          <w:tcPr>
            <w:tcW w:type="dxa" w:w="1800"/>
            <w:tcMar>
              <w:top w:w="80" w:type="dxa"/>
              <w:start w:w="90" w:type="dxa"/>
              <w:bottom w:w="80" w:type="dxa"/>
              <w:end w:w="90" w:type="dxa"/>
            </w:tcMar>
            <w:vAlign w:val="top"/>
          </w:tcPr>
          <w:p>
            <w:pPr>
              <w:spacing w:after="0"/>
            </w:pPr>
            <w:r>
              <w:rPr>
                <w:color w:val="1F2933"/>
                <w:sz w:val="15"/>
              </w:rPr>
              <w:t>Unit</w:t>
            </w:r>
          </w:p>
        </w:tc>
        <w:tc>
          <w:tcPr>
            <w:tcW w:type="dxa" w:w="6624"/>
            <w:tcMar>
              <w:top w:w="80" w:type="dxa"/>
              <w:start w:w="90" w:type="dxa"/>
              <w:bottom w:w="80" w:type="dxa"/>
              <w:end w:w="90" w:type="dxa"/>
            </w:tcMar>
            <w:vAlign w:val="top"/>
          </w:tcPr>
          <w:p>
            <w:pPr>
              <w:spacing w:after="0"/>
            </w:pPr>
            <w:r>
              <w:rPr>
                <w:color w:val="1F2933"/>
                <w:sz w:val="15"/>
              </w:rPr>
              <w:t>Indicators, fees, swings, sizing, state transitions</w:t>
            </w:r>
          </w:p>
        </w:tc>
        <w:tc>
          <w:tcPr>
            <w:tcW w:type="dxa" w:w="1008"/>
            <w:tcMar>
              <w:top w:w="80" w:type="dxa"/>
              <w:start w:w="90" w:type="dxa"/>
              <w:bottom w:w="80" w:type="dxa"/>
              <w:end w:w="90" w:type="dxa"/>
            </w:tcMar>
            <w:vAlign w:val="top"/>
          </w:tcPr>
          <w:p>
            <w:pPr>
              <w:spacing w:after="0"/>
            </w:pPr>
            <w:r>
              <w:rPr>
                <w:color w:val="1F2933"/>
                <w:sz w:val="15"/>
              </w:rPr>
              <w:t>YES</w:t>
            </w:r>
          </w:p>
        </w:tc>
      </w:tr>
      <w:tr>
        <w:trPr>
          <w:cantSplit/>
        </w:trPr>
        <w:tc>
          <w:tcPr>
            <w:tcW w:type="dxa" w:w="1800"/>
            <w:tcMar>
              <w:top w:w="80" w:type="dxa"/>
              <w:start w:w="90" w:type="dxa"/>
              <w:bottom w:w="80" w:type="dxa"/>
              <w:end w:w="90" w:type="dxa"/>
            </w:tcMar>
            <w:shd w:fill="F7F9FB"/>
            <w:vAlign w:val="top"/>
          </w:tcPr>
          <w:p>
            <w:pPr>
              <w:spacing w:after="0"/>
            </w:pPr>
            <w:r>
              <w:rPr>
                <w:color w:val="1F2933"/>
                <w:sz w:val="15"/>
              </w:rPr>
              <w:t>Property / invariants</w:t>
            </w:r>
          </w:p>
        </w:tc>
        <w:tc>
          <w:tcPr>
            <w:tcW w:type="dxa" w:w="6624"/>
            <w:tcMar>
              <w:top w:w="80" w:type="dxa"/>
              <w:start w:w="90" w:type="dxa"/>
              <w:bottom w:w="80" w:type="dxa"/>
              <w:end w:w="90" w:type="dxa"/>
            </w:tcMar>
            <w:shd w:fill="F7F9FB"/>
            <w:vAlign w:val="top"/>
          </w:tcPr>
          <w:p>
            <w:pPr>
              <w:spacing w:after="0"/>
            </w:pPr>
            <w:r>
              <w:rPr>
                <w:color w:val="1F2933"/>
                <w:sz w:val="15"/>
              </w:rPr>
              <w:t>No negative qty; no risk bypass; no future read; idempotent duplicate intent</w:t>
            </w:r>
          </w:p>
        </w:tc>
        <w:tc>
          <w:tcPr>
            <w:tcW w:type="dxa" w:w="1008"/>
            <w:tcMar>
              <w:top w:w="80" w:type="dxa"/>
              <w:start w:w="90" w:type="dxa"/>
              <w:bottom w:w="80" w:type="dxa"/>
              <w:end w:w="90" w:type="dxa"/>
            </w:tcMar>
            <w:shd w:fill="F7F9FB"/>
            <w:vAlign w:val="top"/>
          </w:tcPr>
          <w:p>
            <w:pPr>
              <w:spacing w:after="0"/>
            </w:pPr>
            <w:r>
              <w:rPr>
                <w:color w:val="1F2933"/>
                <w:sz w:val="15"/>
              </w:rPr>
              <w:t>YES</w:t>
            </w:r>
          </w:p>
        </w:tc>
      </w:tr>
      <w:tr>
        <w:trPr>
          <w:cantSplit/>
        </w:trPr>
        <w:tc>
          <w:tcPr>
            <w:tcW w:type="dxa" w:w="1800"/>
            <w:tcMar>
              <w:top w:w="80" w:type="dxa"/>
              <w:start w:w="90" w:type="dxa"/>
              <w:bottom w:w="80" w:type="dxa"/>
              <w:end w:w="90" w:type="dxa"/>
            </w:tcMar>
            <w:vAlign w:val="top"/>
          </w:tcPr>
          <w:p>
            <w:pPr>
              <w:spacing w:after="0"/>
            </w:pPr>
            <w:r>
              <w:rPr>
                <w:color w:val="1F2933"/>
                <w:sz w:val="15"/>
              </w:rPr>
              <w:t>Contract</w:t>
            </w:r>
          </w:p>
        </w:tc>
        <w:tc>
          <w:tcPr>
            <w:tcW w:type="dxa" w:w="6624"/>
            <w:tcMar>
              <w:top w:w="80" w:type="dxa"/>
              <w:start w:w="90" w:type="dxa"/>
              <w:bottom w:w="80" w:type="dxa"/>
              <w:end w:w="90" w:type="dxa"/>
            </w:tcMar>
            <w:vAlign w:val="top"/>
          </w:tcPr>
          <w:p>
            <w:pPr>
              <w:spacing w:after="0"/>
            </w:pPr>
            <w:r>
              <w:rPr>
                <w:color w:val="1F2933"/>
                <w:sz w:val="15"/>
              </w:rPr>
              <w:t>Broker/data adapter schemas and capability behavior</w:t>
            </w:r>
          </w:p>
        </w:tc>
        <w:tc>
          <w:tcPr>
            <w:tcW w:type="dxa" w:w="1008"/>
            <w:tcMar>
              <w:top w:w="80" w:type="dxa"/>
              <w:start w:w="90" w:type="dxa"/>
              <w:bottom w:w="80" w:type="dxa"/>
              <w:end w:w="90" w:type="dxa"/>
            </w:tcMar>
            <w:vAlign w:val="top"/>
          </w:tcPr>
          <w:p>
            <w:pPr>
              <w:spacing w:after="0"/>
            </w:pPr>
            <w:r>
              <w:rPr>
                <w:color w:val="1F2933"/>
                <w:sz w:val="15"/>
              </w:rPr>
              <w:t>YES</w:t>
            </w:r>
          </w:p>
        </w:tc>
      </w:tr>
      <w:tr>
        <w:trPr>
          <w:cantSplit/>
        </w:trPr>
        <w:tc>
          <w:tcPr>
            <w:tcW w:type="dxa" w:w="1800"/>
            <w:tcMar>
              <w:top w:w="80" w:type="dxa"/>
              <w:start w:w="90" w:type="dxa"/>
              <w:bottom w:w="80" w:type="dxa"/>
              <w:end w:w="90" w:type="dxa"/>
            </w:tcMar>
            <w:shd w:fill="F7F9FB"/>
            <w:vAlign w:val="top"/>
          </w:tcPr>
          <w:p>
            <w:pPr>
              <w:spacing w:after="0"/>
            </w:pPr>
            <w:r>
              <w:rPr>
                <w:color w:val="1F2933"/>
                <w:sz w:val="15"/>
              </w:rPr>
              <w:t>Integration</w:t>
            </w:r>
          </w:p>
        </w:tc>
        <w:tc>
          <w:tcPr>
            <w:tcW w:type="dxa" w:w="6624"/>
            <w:tcMar>
              <w:top w:w="80" w:type="dxa"/>
              <w:start w:w="90" w:type="dxa"/>
              <w:bottom w:w="80" w:type="dxa"/>
              <w:end w:w="90" w:type="dxa"/>
            </w:tcMar>
            <w:shd w:fill="F7F9FB"/>
            <w:vAlign w:val="top"/>
          </w:tcPr>
          <w:p>
            <w:pPr>
              <w:spacing w:after="0"/>
            </w:pPr>
            <w:r>
              <w:rPr>
                <w:color w:val="1F2933"/>
                <w:sz w:val="15"/>
              </w:rPr>
              <w:t>PostgreSQL/Redis/object store/mock broker/WebSocket reconnect</w:t>
            </w:r>
          </w:p>
        </w:tc>
        <w:tc>
          <w:tcPr>
            <w:tcW w:type="dxa" w:w="1008"/>
            <w:tcMar>
              <w:top w:w="80" w:type="dxa"/>
              <w:start w:w="90" w:type="dxa"/>
              <w:bottom w:w="80" w:type="dxa"/>
              <w:end w:w="90" w:type="dxa"/>
            </w:tcMar>
            <w:shd w:fill="F7F9FB"/>
            <w:vAlign w:val="top"/>
          </w:tcPr>
          <w:p>
            <w:pPr>
              <w:spacing w:after="0"/>
            </w:pPr>
            <w:r>
              <w:rPr>
                <w:color w:val="1F2933"/>
                <w:sz w:val="15"/>
              </w:rPr>
              <w:t>YES</w:t>
            </w:r>
          </w:p>
        </w:tc>
      </w:tr>
      <w:tr>
        <w:trPr>
          <w:cantSplit/>
        </w:trPr>
        <w:tc>
          <w:tcPr>
            <w:tcW w:type="dxa" w:w="1800"/>
            <w:tcMar>
              <w:top w:w="80" w:type="dxa"/>
              <w:start w:w="90" w:type="dxa"/>
              <w:bottom w:w="80" w:type="dxa"/>
              <w:end w:w="90" w:type="dxa"/>
            </w:tcMar>
            <w:vAlign w:val="top"/>
          </w:tcPr>
          <w:p>
            <w:pPr>
              <w:spacing w:after="0"/>
            </w:pPr>
            <w:r>
              <w:rPr>
                <w:color w:val="1F2933"/>
                <w:sz w:val="15"/>
              </w:rPr>
              <w:t>Regression / golden</w:t>
            </w:r>
          </w:p>
        </w:tc>
        <w:tc>
          <w:tcPr>
            <w:tcW w:type="dxa" w:w="6624"/>
            <w:tcMar>
              <w:top w:w="80" w:type="dxa"/>
              <w:start w:w="90" w:type="dxa"/>
              <w:bottom w:w="80" w:type="dxa"/>
              <w:end w:w="90" w:type="dxa"/>
            </w:tcMar>
            <w:vAlign w:val="top"/>
          </w:tcPr>
          <w:p>
            <w:pPr>
              <w:spacing w:after="0"/>
            </w:pPr>
            <w:r>
              <w:rPr>
                <w:color w:val="1F2933"/>
                <w:sz w:val="15"/>
              </w:rPr>
              <w:t>Known day produces identical decisions for frozen code/data/config</w:t>
            </w:r>
          </w:p>
        </w:tc>
        <w:tc>
          <w:tcPr>
            <w:tcW w:type="dxa" w:w="1008"/>
            <w:tcMar>
              <w:top w:w="80" w:type="dxa"/>
              <w:start w:w="90" w:type="dxa"/>
              <w:bottom w:w="80" w:type="dxa"/>
              <w:end w:w="90" w:type="dxa"/>
            </w:tcMar>
            <w:vAlign w:val="top"/>
          </w:tcPr>
          <w:p>
            <w:pPr>
              <w:spacing w:after="0"/>
            </w:pPr>
            <w:r>
              <w:rPr>
                <w:color w:val="1F2933"/>
                <w:sz w:val="15"/>
              </w:rPr>
              <w:t>YES</w:t>
            </w:r>
          </w:p>
        </w:tc>
      </w:tr>
      <w:tr>
        <w:trPr>
          <w:cantSplit/>
        </w:trPr>
        <w:tc>
          <w:tcPr>
            <w:tcW w:type="dxa" w:w="1800"/>
            <w:tcMar>
              <w:top w:w="80" w:type="dxa"/>
              <w:start w:w="90" w:type="dxa"/>
              <w:bottom w:w="80" w:type="dxa"/>
              <w:end w:w="90" w:type="dxa"/>
            </w:tcMar>
            <w:shd w:fill="F7F9FB"/>
            <w:vAlign w:val="top"/>
          </w:tcPr>
          <w:p>
            <w:pPr>
              <w:spacing w:after="0"/>
            </w:pPr>
            <w:r>
              <w:rPr>
                <w:color w:val="1F2933"/>
                <w:sz w:val="15"/>
              </w:rPr>
              <w:t>Backtest correctness</w:t>
            </w:r>
          </w:p>
        </w:tc>
        <w:tc>
          <w:tcPr>
            <w:tcW w:type="dxa" w:w="6624"/>
            <w:tcMar>
              <w:top w:w="80" w:type="dxa"/>
              <w:start w:w="90" w:type="dxa"/>
              <w:bottom w:w="80" w:type="dxa"/>
              <w:end w:w="90" w:type="dxa"/>
            </w:tcMar>
            <w:shd w:fill="F7F9FB"/>
            <w:vAlign w:val="top"/>
          </w:tcPr>
          <w:p>
            <w:pPr>
              <w:spacing w:after="0"/>
            </w:pPr>
            <w:r>
              <w:rPr>
                <w:color w:val="1F2933"/>
                <w:sz w:val="15"/>
              </w:rPr>
              <w:t>time ordering, costs, fills, holdout/walk-forward</w:t>
            </w:r>
          </w:p>
        </w:tc>
        <w:tc>
          <w:tcPr>
            <w:tcW w:type="dxa" w:w="1008"/>
            <w:tcMar>
              <w:top w:w="80" w:type="dxa"/>
              <w:start w:w="90" w:type="dxa"/>
              <w:bottom w:w="80" w:type="dxa"/>
              <w:end w:w="90" w:type="dxa"/>
            </w:tcMar>
            <w:shd w:fill="F7F9FB"/>
            <w:vAlign w:val="top"/>
          </w:tcPr>
          <w:p>
            <w:pPr>
              <w:spacing w:after="0"/>
            </w:pPr>
            <w:r>
              <w:rPr>
                <w:color w:val="1F2933"/>
                <w:sz w:val="15"/>
              </w:rPr>
              <w:t>YES</w:t>
            </w:r>
          </w:p>
        </w:tc>
      </w:tr>
      <w:tr>
        <w:trPr>
          <w:cantSplit/>
        </w:trPr>
        <w:tc>
          <w:tcPr>
            <w:tcW w:type="dxa" w:w="1800"/>
            <w:tcMar>
              <w:top w:w="80" w:type="dxa"/>
              <w:start w:w="90" w:type="dxa"/>
              <w:bottom w:w="80" w:type="dxa"/>
              <w:end w:w="90" w:type="dxa"/>
            </w:tcMar>
            <w:vAlign w:val="top"/>
          </w:tcPr>
          <w:p>
            <w:pPr>
              <w:spacing w:after="0"/>
            </w:pPr>
            <w:r>
              <w:rPr>
                <w:color w:val="1F2933"/>
                <w:sz w:val="15"/>
              </w:rPr>
              <w:t>Replay</w:t>
            </w:r>
          </w:p>
        </w:tc>
        <w:tc>
          <w:tcPr>
            <w:tcW w:type="dxa" w:w="6624"/>
            <w:tcMar>
              <w:top w:w="80" w:type="dxa"/>
              <w:start w:w="90" w:type="dxa"/>
              <w:bottom w:w="80" w:type="dxa"/>
              <w:end w:w="90" w:type="dxa"/>
            </w:tcMar>
            <w:vAlign w:val="top"/>
          </w:tcPr>
          <w:p>
            <w:pPr>
              <w:spacing w:after="0"/>
            </w:pPr>
            <w:r>
              <w:rPr>
                <w:color w:val="1F2933"/>
                <w:sz w:val="15"/>
              </w:rPr>
              <w:t>historical event stream through production-like interfaces</w:t>
            </w:r>
          </w:p>
        </w:tc>
        <w:tc>
          <w:tcPr>
            <w:tcW w:type="dxa" w:w="1008"/>
            <w:tcMar>
              <w:top w:w="80" w:type="dxa"/>
              <w:start w:w="90" w:type="dxa"/>
              <w:bottom w:w="80" w:type="dxa"/>
              <w:end w:w="90" w:type="dxa"/>
            </w:tcMar>
            <w:vAlign w:val="top"/>
          </w:tcPr>
          <w:p>
            <w:pPr>
              <w:spacing w:after="0"/>
            </w:pPr>
            <w:r>
              <w:rPr>
                <w:color w:val="1F2933"/>
                <w:sz w:val="15"/>
              </w:rPr>
              <w:t>YES</w:t>
            </w:r>
          </w:p>
        </w:tc>
      </w:tr>
      <w:tr>
        <w:trPr>
          <w:cantSplit/>
        </w:trPr>
        <w:tc>
          <w:tcPr>
            <w:tcW w:type="dxa" w:w="1800"/>
            <w:tcMar>
              <w:top w:w="80" w:type="dxa"/>
              <w:start w:w="90" w:type="dxa"/>
              <w:bottom w:w="80" w:type="dxa"/>
              <w:end w:w="90" w:type="dxa"/>
            </w:tcMar>
            <w:shd w:fill="F7F9FB"/>
            <w:vAlign w:val="top"/>
          </w:tcPr>
          <w:p>
            <w:pPr>
              <w:spacing w:after="0"/>
            </w:pPr>
            <w:r>
              <w:rPr>
                <w:color w:val="1F2933"/>
                <w:sz w:val="15"/>
              </w:rPr>
              <w:t>Fault / chaos</w:t>
            </w:r>
          </w:p>
        </w:tc>
        <w:tc>
          <w:tcPr>
            <w:tcW w:type="dxa" w:w="6624"/>
            <w:tcMar>
              <w:top w:w="80" w:type="dxa"/>
              <w:start w:w="90" w:type="dxa"/>
              <w:bottom w:w="80" w:type="dxa"/>
              <w:end w:w="90" w:type="dxa"/>
            </w:tcMar>
            <w:shd w:fill="F7F9FB"/>
            <w:vAlign w:val="top"/>
          </w:tcPr>
          <w:p>
            <w:pPr>
              <w:spacing w:after="0"/>
            </w:pPr>
            <w:r>
              <w:rPr>
                <w:color w:val="1F2933"/>
                <w:sz w:val="15"/>
              </w:rPr>
              <w:t>disconnects, timeouts, partial fills, restart, DB/cache/disk/network faults</w:t>
            </w:r>
          </w:p>
        </w:tc>
        <w:tc>
          <w:tcPr>
            <w:tcW w:type="dxa" w:w="1008"/>
            <w:tcMar>
              <w:top w:w="80" w:type="dxa"/>
              <w:start w:w="90" w:type="dxa"/>
              <w:bottom w:w="80" w:type="dxa"/>
              <w:end w:w="90" w:type="dxa"/>
            </w:tcMar>
            <w:shd w:fill="F7F9FB"/>
            <w:vAlign w:val="top"/>
          </w:tcPr>
          <w:p>
            <w:pPr>
              <w:spacing w:after="0"/>
            </w:pPr>
            <w:r>
              <w:rPr>
                <w:color w:val="1F2933"/>
                <w:sz w:val="15"/>
              </w:rPr>
              <w:t>YES</w:t>
            </w:r>
          </w:p>
        </w:tc>
      </w:tr>
      <w:tr>
        <w:trPr>
          <w:cantSplit/>
        </w:trPr>
        <w:tc>
          <w:tcPr>
            <w:tcW w:type="dxa" w:w="1800"/>
            <w:tcMar>
              <w:top w:w="80" w:type="dxa"/>
              <w:start w:w="90" w:type="dxa"/>
              <w:bottom w:w="80" w:type="dxa"/>
              <w:end w:w="90" w:type="dxa"/>
            </w:tcMar>
            <w:vAlign w:val="top"/>
          </w:tcPr>
          <w:p>
            <w:pPr>
              <w:spacing w:after="0"/>
            </w:pPr>
            <w:r>
              <w:rPr>
                <w:color w:val="1F2933"/>
                <w:sz w:val="15"/>
              </w:rPr>
              <w:t>Full-session paper/shadow</w:t>
            </w:r>
          </w:p>
        </w:tc>
        <w:tc>
          <w:tcPr>
            <w:tcW w:type="dxa" w:w="6624"/>
            <w:tcMar>
              <w:top w:w="80" w:type="dxa"/>
              <w:start w:w="90" w:type="dxa"/>
              <w:bottom w:w="80" w:type="dxa"/>
              <w:end w:w="90" w:type="dxa"/>
            </w:tcMar>
            <w:vAlign w:val="top"/>
          </w:tcPr>
          <w:p>
            <w:pPr>
              <w:spacing w:after="0"/>
            </w:pPr>
            <w:r>
              <w:rPr>
                <w:color w:val="1F2933"/>
                <w:sz w:val="15"/>
              </w:rPr>
              <w:t>normal market day without manual intervention</w:t>
            </w:r>
          </w:p>
        </w:tc>
        <w:tc>
          <w:tcPr>
            <w:tcW w:type="dxa" w:w="1008"/>
            <w:tcMar>
              <w:top w:w="80" w:type="dxa"/>
              <w:start w:w="90" w:type="dxa"/>
              <w:bottom w:w="80" w:type="dxa"/>
              <w:end w:w="90" w:type="dxa"/>
            </w:tcMar>
            <w:vAlign w:val="top"/>
          </w:tcPr>
          <w:p>
            <w:pPr>
              <w:spacing w:after="0"/>
            </w:pPr>
            <w:r>
              <w:rPr>
                <w:color w:val="1F2933"/>
                <w:sz w:val="15"/>
              </w:rPr>
              <w:t>YES</w:t>
            </w:r>
          </w:p>
        </w:tc>
      </w:tr>
    </w:tbl>
    <w:p>
      <w:pPr>
        <w:spacing w:after="0"/>
      </w:pPr>
    </w:p>
    <w:p>
      <w:pPr>
        <w:pStyle w:val="Heading2"/>
      </w:pPr>
      <w:r>
        <w:t>11.2 Required fault scenarios</w:t>
      </w:r>
    </w:p>
    <w:p>
      <w:pPr>
        <w:pStyle w:val="ListBullet"/>
        <w:spacing w:after="40"/>
      </w:pPr>
      <w:r>
        <w:t>WebSocket disconnect/reconnect, duplicate/missing/out-of-order ticks and stale/incomplete option chains.</w:t>
      </w:r>
    </w:p>
    <w:p>
      <w:pPr>
        <w:pStyle w:val="ListBullet"/>
        <w:spacing w:after="40"/>
      </w:pPr>
      <w:r>
        <w:t>Broker timeout, slow acknowledgement, reject, partial fill, cancel/modify failure and rate-limit exhaustion.</w:t>
      </w:r>
    </w:p>
    <w:p>
      <w:pPr>
        <w:pStyle w:val="ListBullet"/>
        <w:spacing w:after="40"/>
      </w:pPr>
      <w:r>
        <w:t>Database unavailable, Redis unavailable, disk full, S3 unavailable, network partition and process/VM restart.</w:t>
      </w:r>
    </w:p>
    <w:p>
      <w:pPr>
        <w:pStyle w:val="ListBullet"/>
        <w:spacing w:after="40"/>
      </w:pPr>
      <w:r>
        <w:t>Wrong system clock, expired/invalid credentials, unexpected broker position/order and internal/broker mismatch.</w:t>
      </w:r>
    </w:p>
    <w:p>
      <w:pPr>
        <w:pStyle w:val="ListBullet"/>
        <w:spacing w:after="40"/>
      </w:pPr>
      <w:r>
        <w:t>Future HA: two execution nodes attempting leadership; fencing must prevent split-brain execution.</w:t>
      </w:r>
    </w:p>
    <w:p>
      <w:pPr>
        <w:pStyle w:val="Heading2"/>
      </w:pPr>
      <w:r>
        <w:t>11.3 Recovery architecture</w:t>
      </w:r>
    </w:p>
    <w:p>
      <w:pPr>
        <w:jc w:val="center"/>
      </w:pPr>
      <w:r>
        <w:drawing>
          <wp:inline xmlns:a="http://schemas.openxmlformats.org/drawingml/2006/main" xmlns:pic="http://schemas.openxmlformats.org/drawingml/2006/picture">
            <wp:extent cx="6126480" cy="506970"/>
            <wp:docPr id="7" name="Picture 7"/>
            <wp:cNvGraphicFramePr>
              <a:graphicFrameLocks noChangeAspect="1"/>
            </wp:cNvGraphicFramePr>
            <a:graphic>
              <a:graphicData uri="http://schemas.openxmlformats.org/drawingml/2006/picture">
                <pic:pic>
                  <pic:nvPicPr>
                    <pic:cNvPr id="0" name="recovery.png"/>
                    <pic:cNvPicPr/>
                  </pic:nvPicPr>
                  <pic:blipFill>
                    <a:blip r:embed="rId17"/>
                    <a:stretch>
                      <a:fillRect/>
                    </a:stretch>
                  </pic:blipFill>
                  <pic:spPr>
                    <a:xfrm>
                      <a:off x="0" y="0"/>
                      <a:ext cx="6126480" cy="506970"/>
                    </a:xfrm>
                    <a:prstGeom prst="rect"/>
                  </pic:spPr>
                </pic:pic>
              </a:graphicData>
            </a:graphic>
          </wp:inline>
        </w:drawing>
      </w:r>
    </w:p>
    <w:p>
      <w:pPr>
        <w:spacing w:after="120"/>
        <w:jc w:val="center"/>
      </w:pPr>
      <w:r>
        <w:rPr>
          <w:i/>
          <w:color w:val="5A6670"/>
          <w:sz w:val="17"/>
        </w:rPr>
        <w:t>Figure 7 — Recovery is checkpoint + durable events + broker truth + reconciliation, never blind resume.</w:t>
      </w:r>
    </w:p>
    <w:p>
      <w:r>
        <w:br w:type="page"/>
      </w:r>
    </w:p>
    <w:p>
      <w:pPr>
        <w:pStyle w:val="Heading1"/>
      </w:pPr>
      <w:r>
        <w:t>12. AWS V1 Deployment and Production Evolution</w:t>
      </w:r>
    </w:p>
    <w:p>
      <w:pPr>
        <w:jc w:val="center"/>
      </w:pPr>
      <w:r>
        <w:drawing>
          <wp:inline xmlns:a="http://schemas.openxmlformats.org/drawingml/2006/main" xmlns:pic="http://schemas.openxmlformats.org/drawingml/2006/picture">
            <wp:extent cx="5897880" cy="3385658"/>
            <wp:docPr id="8" name="Picture 8"/>
            <wp:cNvGraphicFramePr>
              <a:graphicFrameLocks noChangeAspect="1"/>
            </wp:cNvGraphicFramePr>
            <a:graphic>
              <a:graphicData uri="http://schemas.openxmlformats.org/drawingml/2006/picture">
                <pic:pic>
                  <pic:nvPicPr>
                    <pic:cNvPr id="0" name="aws_v1.png"/>
                    <pic:cNvPicPr/>
                  </pic:nvPicPr>
                  <pic:blipFill>
                    <a:blip r:embed="rId18"/>
                    <a:stretch>
                      <a:fillRect/>
                    </a:stretch>
                  </pic:blipFill>
                  <pic:spPr>
                    <a:xfrm>
                      <a:off x="0" y="0"/>
                      <a:ext cx="5897880" cy="3385658"/>
                    </a:xfrm>
                    <a:prstGeom prst="rect"/>
                  </pic:spPr>
                </pic:pic>
              </a:graphicData>
            </a:graphic>
          </wp:inline>
        </w:drawing>
      </w:r>
    </w:p>
    <w:p>
      <w:pPr>
        <w:spacing w:after="120"/>
        <w:jc w:val="center"/>
      </w:pPr>
      <w:r>
        <w:rPr>
          <w:i/>
          <w:color w:val="5A6670"/>
          <w:sz w:val="17"/>
        </w:rPr>
        <w:t>Figure 8 — Lean AWS V1: one start/stop-capable EC2 runtime, ECR, S3, Secrets Manager and basic visibility.</w:t>
      </w:r>
    </w:p>
    <w:p>
      <w:pPr>
        <w:pStyle w:val="Heading2"/>
      </w:pPr>
      <w:r>
        <w:t>12.1 V1 rules</w:t>
      </w:r>
    </w:p>
    <w:p>
      <w:pPr>
        <w:pStyle w:val="ListBullet"/>
        <w:spacing w:after="40"/>
      </w:pPr>
      <w:r>
        <w:t>Mac is the development/control machine; GitHub is source of truth; no manual live file edits on EC2.</w:t>
      </w:r>
    </w:p>
    <w:p>
      <w:pPr>
        <w:pStyle w:val="ListBullet"/>
        <w:spacing w:after="40"/>
      </w:pPr>
      <w:r>
        <w:t>Build immutable container images and deploy by digest/tag through a controlled release path.</w:t>
      </w:r>
    </w:p>
    <w:p>
      <w:pPr>
        <w:pStyle w:val="ListBullet"/>
        <w:spacing w:after="40"/>
      </w:pPr>
      <w:r>
        <w:t>Use EC2 + EBS + S3 + ECR + Secrets Manager + CloudWatch first; PostgreSQL/Redis may initially run in Docker Compose.</w:t>
      </w:r>
    </w:p>
    <w:p>
      <w:pPr>
        <w:pStyle w:val="ListBullet"/>
        <w:spacing w:after="40"/>
      </w:pPr>
      <w:r>
        <w:t>Use a stable outbound/public IP design when broker/exchange API requirements require it.</w:t>
      </w:r>
    </w:p>
    <w:p>
      <w:pPr>
        <w:pStyle w:val="ListBullet"/>
        <w:spacing w:after="40"/>
      </w:pPr>
      <w:r>
        <w:t>Do not add Kubernetes, Kafka, RDS, ElastiCache, ALB, NAT Gateway or multi-region HA until measured need justifies cost/complexity.</w:t>
      </w:r>
    </w:p>
    <w:p>
      <w:pPr>
        <w:pStyle w:val="Heading2"/>
      </w:pPr>
      <w:r>
        <w:t>12.2 Future HA rule</w:t>
      </w:r>
    </w:p>
    <w:p>
      <w:r>
        <w:t>Redundant execution must be leader/standby with fencing. A standby never starts trading merely because the leader disappeared; it first acquires leadership, queries broker truth, reconstructs/reconciles state, passes readiness checks, then execution may be armed.</w:t>
      </w:r>
    </w:p>
    <w:p>
      <w:r>
        <w:br w:type="page"/>
      </w:r>
    </w:p>
    <w:p>
      <w:pPr>
        <w:pStyle w:val="Heading1"/>
      </w:pPr>
      <w:r>
        <w:t>13. Security, Compliance and Operations</w:t>
      </w:r>
    </w:p>
    <w:p>
      <w:pPr>
        <w:pStyle w:val="Heading2"/>
      </w:pPr>
      <w:r>
        <w:t>13.1 Environment and credential boundaries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17365D"/>
            <w:tcMar>
              <w:top w:w="80" w:type="dxa"/>
              <w:start w:w="90" w:type="dxa"/>
              <w:bottom w:w="80" w:type="dxa"/>
              <w:end w:w="90" w:type="dxa"/>
            </w:tcMar>
            <w:vAlign w:val="center"/>
          </w:tcPr>
          <w:p>
            <w:pPr>
              <w:jc w:val="center"/>
            </w:pPr>
            <w:r>
              <w:rPr>
                <w:b/>
                <w:color w:val="FFFFFF"/>
                <w:sz w:val="16"/>
              </w:rPr>
              <w:t>Environment</w:t>
            </w:r>
          </w:p>
        </w:tc>
        <w:tc>
          <w:tcPr>
            <w:tcW w:type="dxa" w:w="1584"/>
            <w:shd w:fill="17365D"/>
            <w:tcMar>
              <w:top w:w="80" w:type="dxa"/>
              <w:start w:w="90" w:type="dxa"/>
              <w:bottom w:w="80" w:type="dxa"/>
              <w:end w:w="90" w:type="dxa"/>
            </w:tcMar>
            <w:vAlign w:val="center"/>
          </w:tcPr>
          <w:p>
            <w:pPr>
              <w:jc w:val="center"/>
            </w:pPr>
            <w:r>
              <w:rPr>
                <w:b/>
                <w:color w:val="FFFFFF"/>
                <w:sz w:val="16"/>
              </w:rPr>
              <w:t>Real orders?</w:t>
            </w:r>
          </w:p>
        </w:tc>
        <w:tc>
          <w:tcPr>
            <w:tcW w:type="dxa" w:w="6336"/>
            <w:shd w:fill="17365D"/>
            <w:tcMar>
              <w:top w:w="80" w:type="dxa"/>
              <w:start w:w="90" w:type="dxa"/>
              <w:bottom w:w="80" w:type="dxa"/>
              <w:end w:w="90" w:type="dxa"/>
            </w:tcMar>
            <w:vAlign w:val="center"/>
          </w:tcPr>
          <w:p>
            <w:pPr>
              <w:jc w:val="center"/>
            </w:pPr>
            <w:r>
              <w:rPr>
                <w:b/>
                <w:color w:val="FFFFFF"/>
                <w:sz w:val="16"/>
              </w:rPr>
              <w:t>Credentials / purpose</w:t>
            </w:r>
          </w:p>
        </w:tc>
      </w:tr>
      <w:tr>
        <w:trPr>
          <w:cantSplit/>
        </w:trPr>
        <w:tc>
          <w:tcPr>
            <w:tcW w:type="dxa" w:w="1440"/>
            <w:tcMar>
              <w:top w:w="80" w:type="dxa"/>
              <w:start w:w="90" w:type="dxa"/>
              <w:bottom w:w="80" w:type="dxa"/>
              <w:end w:w="90" w:type="dxa"/>
            </w:tcMar>
            <w:vAlign w:val="top"/>
          </w:tcPr>
          <w:p>
            <w:pPr>
              <w:spacing w:after="0"/>
            </w:pPr>
            <w:r>
              <w:rPr>
                <w:color w:val="1F2933"/>
                <w:sz w:val="16"/>
              </w:rPr>
              <w:t>dev</w:t>
            </w:r>
          </w:p>
        </w:tc>
        <w:tc>
          <w:tcPr>
            <w:tcW w:type="dxa" w:w="1584"/>
            <w:tcMar>
              <w:top w:w="80" w:type="dxa"/>
              <w:start w:w="90" w:type="dxa"/>
              <w:bottom w:w="80" w:type="dxa"/>
              <w:end w:w="90" w:type="dxa"/>
            </w:tcMar>
            <w:vAlign w:val="top"/>
          </w:tcPr>
          <w:p>
            <w:pPr>
              <w:spacing w:after="0"/>
            </w:pPr>
            <w:r>
              <w:rPr>
                <w:color w:val="1F2933"/>
                <w:sz w:val="16"/>
              </w:rPr>
              <w:t>NO</w:t>
            </w:r>
          </w:p>
        </w:tc>
        <w:tc>
          <w:tcPr>
            <w:tcW w:type="dxa" w:w="6336"/>
            <w:tcMar>
              <w:top w:w="80" w:type="dxa"/>
              <w:start w:w="90" w:type="dxa"/>
              <w:bottom w:w="80" w:type="dxa"/>
              <w:end w:w="90" w:type="dxa"/>
            </w:tcMar>
            <w:vAlign w:val="top"/>
          </w:tcPr>
          <w:p>
            <w:pPr>
              <w:spacing w:after="0"/>
            </w:pPr>
            <w:r>
              <w:rPr>
                <w:color w:val="1F2933"/>
                <w:sz w:val="16"/>
              </w:rPr>
              <w:t>Synthetic fixtures, unit/integration only</w:t>
            </w:r>
          </w:p>
        </w:tc>
      </w:tr>
      <w:tr>
        <w:trPr>
          <w:cantSplit/>
        </w:trPr>
        <w:tc>
          <w:tcPr>
            <w:tcW w:type="dxa" w:w="1440"/>
            <w:tcMar>
              <w:top w:w="80" w:type="dxa"/>
              <w:start w:w="90" w:type="dxa"/>
              <w:bottom w:w="80" w:type="dxa"/>
              <w:end w:w="90" w:type="dxa"/>
            </w:tcMar>
            <w:shd w:fill="F7F9FB"/>
            <w:vAlign w:val="top"/>
          </w:tcPr>
          <w:p>
            <w:pPr>
              <w:spacing w:after="0"/>
            </w:pPr>
            <w:r>
              <w:rPr>
                <w:color w:val="1F2933"/>
                <w:sz w:val="16"/>
              </w:rPr>
              <w:t>backtest</w:t>
            </w:r>
          </w:p>
        </w:tc>
        <w:tc>
          <w:tcPr>
            <w:tcW w:type="dxa" w:w="1584"/>
            <w:tcMar>
              <w:top w:w="80" w:type="dxa"/>
              <w:start w:w="90" w:type="dxa"/>
              <w:bottom w:w="80" w:type="dxa"/>
              <w:end w:w="90" w:type="dxa"/>
            </w:tcMar>
            <w:shd w:fill="F7F9FB"/>
            <w:vAlign w:val="top"/>
          </w:tcPr>
          <w:p>
            <w:pPr>
              <w:spacing w:after="0"/>
            </w:pPr>
            <w:r>
              <w:rPr>
                <w:color w:val="1F2933"/>
                <w:sz w:val="16"/>
              </w:rPr>
              <w:t>NO</w:t>
            </w:r>
          </w:p>
        </w:tc>
        <w:tc>
          <w:tcPr>
            <w:tcW w:type="dxa" w:w="6336"/>
            <w:tcMar>
              <w:top w:w="80" w:type="dxa"/>
              <w:start w:w="90" w:type="dxa"/>
              <w:bottom w:w="80" w:type="dxa"/>
              <w:end w:w="90" w:type="dxa"/>
            </w:tcMar>
            <w:shd w:fill="F7F9FB"/>
            <w:vAlign w:val="top"/>
          </w:tcPr>
          <w:p>
            <w:pPr>
              <w:spacing w:after="0"/>
            </w:pPr>
            <w:r>
              <w:rPr>
                <w:color w:val="1F2933"/>
                <w:sz w:val="16"/>
              </w:rPr>
              <w:t>Historical datasets only</w:t>
            </w:r>
          </w:p>
        </w:tc>
      </w:tr>
      <w:tr>
        <w:trPr>
          <w:cantSplit/>
        </w:trPr>
        <w:tc>
          <w:tcPr>
            <w:tcW w:type="dxa" w:w="1440"/>
            <w:tcMar>
              <w:top w:w="80" w:type="dxa"/>
              <w:start w:w="90" w:type="dxa"/>
              <w:bottom w:w="80" w:type="dxa"/>
              <w:end w:w="90" w:type="dxa"/>
            </w:tcMar>
            <w:vAlign w:val="top"/>
          </w:tcPr>
          <w:p>
            <w:pPr>
              <w:spacing w:after="0"/>
            </w:pPr>
            <w:r>
              <w:rPr>
                <w:color w:val="1F2933"/>
                <w:sz w:val="16"/>
              </w:rPr>
              <w:t>replay</w:t>
            </w:r>
          </w:p>
        </w:tc>
        <w:tc>
          <w:tcPr>
            <w:tcW w:type="dxa" w:w="1584"/>
            <w:tcMar>
              <w:top w:w="80" w:type="dxa"/>
              <w:start w:w="90" w:type="dxa"/>
              <w:bottom w:w="80" w:type="dxa"/>
              <w:end w:w="90" w:type="dxa"/>
            </w:tcMar>
            <w:vAlign w:val="top"/>
          </w:tcPr>
          <w:p>
            <w:pPr>
              <w:spacing w:after="0"/>
            </w:pPr>
            <w:r>
              <w:rPr>
                <w:color w:val="1F2933"/>
                <w:sz w:val="16"/>
              </w:rPr>
              <w:t>NO</w:t>
            </w:r>
          </w:p>
        </w:tc>
        <w:tc>
          <w:tcPr>
            <w:tcW w:type="dxa" w:w="6336"/>
            <w:tcMar>
              <w:top w:w="80" w:type="dxa"/>
              <w:start w:w="90" w:type="dxa"/>
              <w:bottom w:w="80" w:type="dxa"/>
              <w:end w:w="90" w:type="dxa"/>
            </w:tcMar>
            <w:vAlign w:val="top"/>
          </w:tcPr>
          <w:p>
            <w:pPr>
              <w:spacing w:after="0"/>
            </w:pPr>
            <w:r>
              <w:rPr>
                <w:color w:val="1F2933"/>
                <w:sz w:val="16"/>
              </w:rPr>
              <w:t>Historical event stream through live-like contracts</w:t>
            </w:r>
          </w:p>
        </w:tc>
      </w:tr>
      <w:tr>
        <w:trPr>
          <w:cantSplit/>
        </w:trPr>
        <w:tc>
          <w:tcPr>
            <w:tcW w:type="dxa" w:w="1440"/>
            <w:tcMar>
              <w:top w:w="80" w:type="dxa"/>
              <w:start w:w="90" w:type="dxa"/>
              <w:bottom w:w="80" w:type="dxa"/>
              <w:end w:w="90" w:type="dxa"/>
            </w:tcMar>
            <w:shd w:fill="F7F9FB"/>
            <w:vAlign w:val="top"/>
          </w:tcPr>
          <w:p>
            <w:pPr>
              <w:spacing w:after="0"/>
            </w:pPr>
            <w:r>
              <w:rPr>
                <w:color w:val="1F2933"/>
                <w:sz w:val="16"/>
              </w:rPr>
              <w:t>paper</w:t>
            </w:r>
          </w:p>
        </w:tc>
        <w:tc>
          <w:tcPr>
            <w:tcW w:type="dxa" w:w="1584"/>
            <w:tcMar>
              <w:top w:w="80" w:type="dxa"/>
              <w:start w:w="90" w:type="dxa"/>
              <w:bottom w:w="80" w:type="dxa"/>
              <w:end w:w="90" w:type="dxa"/>
            </w:tcMar>
            <w:shd w:fill="F7F9FB"/>
            <w:vAlign w:val="top"/>
          </w:tcPr>
          <w:p>
            <w:pPr>
              <w:spacing w:after="0"/>
            </w:pPr>
            <w:r>
              <w:rPr>
                <w:color w:val="1F2933"/>
                <w:sz w:val="16"/>
              </w:rPr>
              <w:t>NO</w:t>
            </w:r>
          </w:p>
        </w:tc>
        <w:tc>
          <w:tcPr>
            <w:tcW w:type="dxa" w:w="6336"/>
            <w:tcMar>
              <w:top w:w="80" w:type="dxa"/>
              <w:start w:w="90" w:type="dxa"/>
              <w:bottom w:w="80" w:type="dxa"/>
              <w:end w:w="90" w:type="dxa"/>
            </w:tcMar>
            <w:shd w:fill="F7F9FB"/>
            <w:vAlign w:val="top"/>
          </w:tcPr>
          <w:p>
            <w:pPr>
              <w:spacing w:after="0"/>
            </w:pPr>
            <w:r>
              <w:rPr>
                <w:color w:val="1F2933"/>
                <w:sz w:val="16"/>
              </w:rPr>
              <w:t>Real-time data + simulated fills</w:t>
            </w:r>
          </w:p>
        </w:tc>
      </w:tr>
      <w:tr>
        <w:trPr>
          <w:cantSplit/>
        </w:trPr>
        <w:tc>
          <w:tcPr>
            <w:tcW w:type="dxa" w:w="1440"/>
            <w:tcMar>
              <w:top w:w="80" w:type="dxa"/>
              <w:start w:w="90" w:type="dxa"/>
              <w:bottom w:w="80" w:type="dxa"/>
              <w:end w:w="90" w:type="dxa"/>
            </w:tcMar>
            <w:vAlign w:val="top"/>
          </w:tcPr>
          <w:p>
            <w:pPr>
              <w:spacing w:after="0"/>
            </w:pPr>
            <w:r>
              <w:rPr>
                <w:color w:val="1F2933"/>
                <w:sz w:val="16"/>
              </w:rPr>
              <w:t>shadow</w:t>
            </w:r>
          </w:p>
        </w:tc>
        <w:tc>
          <w:tcPr>
            <w:tcW w:type="dxa" w:w="1584"/>
            <w:tcMar>
              <w:top w:w="80" w:type="dxa"/>
              <w:start w:w="90" w:type="dxa"/>
              <w:bottom w:w="80" w:type="dxa"/>
              <w:end w:w="90" w:type="dxa"/>
            </w:tcMar>
            <w:vAlign w:val="top"/>
          </w:tcPr>
          <w:p>
            <w:pPr>
              <w:spacing w:after="0"/>
            </w:pPr>
            <w:r>
              <w:rPr>
                <w:color w:val="1F2933"/>
                <w:sz w:val="16"/>
              </w:rPr>
              <w:t>NO</w:t>
            </w:r>
          </w:p>
        </w:tc>
        <w:tc>
          <w:tcPr>
            <w:tcW w:type="dxa" w:w="6336"/>
            <w:tcMar>
              <w:top w:w="80" w:type="dxa"/>
              <w:start w:w="90" w:type="dxa"/>
              <w:bottom w:w="80" w:type="dxa"/>
              <w:end w:w="90" w:type="dxa"/>
            </w:tcMar>
            <w:vAlign w:val="top"/>
          </w:tcPr>
          <w:p>
            <w:pPr>
              <w:spacing w:after="0"/>
            </w:pPr>
            <w:r>
              <w:rPr>
                <w:color w:val="1F2933"/>
                <w:sz w:val="16"/>
              </w:rPr>
              <w:t>Complete live decisions/order intents but never transmitted</w:t>
            </w:r>
          </w:p>
        </w:tc>
      </w:tr>
      <w:tr>
        <w:trPr>
          <w:cantSplit/>
        </w:trPr>
        <w:tc>
          <w:tcPr>
            <w:tcW w:type="dxa" w:w="1440"/>
            <w:tcMar>
              <w:top w:w="80" w:type="dxa"/>
              <w:start w:w="90" w:type="dxa"/>
              <w:bottom w:w="80" w:type="dxa"/>
              <w:end w:w="90" w:type="dxa"/>
            </w:tcMar>
            <w:shd w:fill="F7F9FB"/>
            <w:vAlign w:val="top"/>
          </w:tcPr>
          <w:p>
            <w:pPr>
              <w:spacing w:after="0"/>
            </w:pPr>
            <w:r>
              <w:rPr>
                <w:color w:val="1F2933"/>
                <w:sz w:val="16"/>
              </w:rPr>
              <w:t>live</w:t>
            </w:r>
          </w:p>
        </w:tc>
        <w:tc>
          <w:tcPr>
            <w:tcW w:type="dxa" w:w="1584"/>
            <w:tcMar>
              <w:top w:w="80" w:type="dxa"/>
              <w:start w:w="90" w:type="dxa"/>
              <w:bottom w:w="80" w:type="dxa"/>
              <w:end w:w="90" w:type="dxa"/>
            </w:tcMar>
            <w:shd w:fill="F7F9FB"/>
            <w:vAlign w:val="top"/>
          </w:tcPr>
          <w:p>
            <w:pPr>
              <w:spacing w:after="0"/>
            </w:pPr>
            <w:r>
              <w:rPr>
                <w:color w:val="1F2933"/>
                <w:sz w:val="16"/>
              </w:rPr>
              <w:t>YES</w:t>
            </w:r>
          </w:p>
        </w:tc>
        <w:tc>
          <w:tcPr>
            <w:tcW w:type="dxa" w:w="6336"/>
            <w:tcMar>
              <w:top w:w="80" w:type="dxa"/>
              <w:start w:w="90" w:type="dxa"/>
              <w:bottom w:w="80" w:type="dxa"/>
              <w:end w:w="90" w:type="dxa"/>
            </w:tcMar>
            <w:shd w:fill="F7F9FB"/>
            <w:vAlign w:val="top"/>
          </w:tcPr>
          <w:p>
            <w:pPr>
              <w:spacing w:after="0"/>
            </w:pPr>
            <w:r>
              <w:rPr>
                <w:color w:val="1F2933"/>
                <w:sz w:val="16"/>
              </w:rPr>
              <w:t>Separate production credentials; explicit ARM required</w:t>
            </w:r>
          </w:p>
        </w:tc>
      </w:tr>
    </w:tbl>
    <w:p>
      <w:pPr>
        <w:spacing w:after="0"/>
      </w:pPr>
    </w:p>
    <w:p>
      <w:pPr>
        <w:pStyle w:val="Heading2"/>
      </w:pPr>
      <w:r>
        <w:t>13.2 Compliance and broker capability profile</w:t>
      </w:r>
    </w:p>
    <w:p>
      <w:r>
        <w:t>Do not hardcode current broker/exchange rules into strategy code. Maintain effective-dated capability/compliance metadata: supported order types, API/session rules, rate limits/order budgets, static-IP requirements if applicable, algo/order identifiers, audit retention and reference source. Execution validates the active profile before transmission.</w:t>
      </w:r>
    </w:p>
    <w:p>
      <w:pPr>
        <w:pStyle w:val="Heading2"/>
      </w:pPr>
      <w:r>
        <w:t>13.3 Operator controls</w:t>
      </w:r>
    </w:p>
    <w:p>
      <w:pPr>
        <w:pStyle w:val="ListBullet"/>
        <w:spacing w:after="40"/>
      </w:pPr>
      <w:r>
        <w:t>ARM, DISARM, EXIT_ONLY, HALT, CANCEL_PENDING and FLATTEN are privileged, authenticated and audited.</w:t>
      </w:r>
    </w:p>
    <w:p>
      <w:pPr>
        <w:pStyle w:val="ListBullet"/>
        <w:spacing w:after="40"/>
      </w:pPr>
      <w:r>
        <w:t>Dangerous changes such as ENABLE_LIVE, increasing hard limits or disabling a safety rule require explicit confirmation and old/new-value audit.</w:t>
      </w:r>
    </w:p>
    <w:p>
      <w:pPr>
        <w:pStyle w:val="ListBullet"/>
        <w:spacing w:after="40"/>
      </w:pPr>
      <w:r>
        <w:t>Pre-market readiness validates clock, calendar, instruments, feed, option chain, broker, reconciliation, capital, config, risk, data recorder and alerts before ARM.</w:t>
      </w:r>
    </w:p>
    <w:p>
      <w:pPr>
        <w:pStyle w:val="ListBullet"/>
        <w:spacing w:after="40"/>
      </w:pPr>
      <w:r>
        <w:t>Post-market disables new entries, reconciles, flushes data, generates quality/TCA/risk/strategy-health reports, backs up and DISARMs.</w:t>
      </w:r>
    </w:p>
    <w:p>
      <w:r>
        <w:br w:type="page"/>
      </w:r>
    </w:p>
    <w:p>
      <w:pPr>
        <w:pStyle w:val="Heading1"/>
      </w:pPr>
      <w:r>
        <w:t>14. Step-by-Step Build Roadmap — What We Build From Now</w:t>
      </w:r>
    </w:p>
    <w:p>
      <w:r>
        <w:t>This is the implementation order. Do not skip ahead to advanced strategy tuning or live broker execution. Each phase has an exit gate; the next phase starts only when the previous gate is satisfied.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656"/>
            <w:shd w:fill="17365D"/>
            <w:tcMar>
              <w:top w:w="80" w:type="dxa"/>
              <w:start w:w="90" w:type="dxa"/>
              <w:bottom w:w="80" w:type="dxa"/>
              <w:end w:w="90" w:type="dxa"/>
            </w:tcMar>
            <w:vAlign w:val="center"/>
          </w:tcPr>
          <w:p>
            <w:pPr>
              <w:jc w:val="center"/>
            </w:pPr>
            <w:r>
              <w:rPr>
                <w:b/>
                <w:color w:val="FFFFFF"/>
                <w:sz w:val="13"/>
              </w:rPr>
              <w:t>Phase</w:t>
            </w:r>
          </w:p>
        </w:tc>
        <w:tc>
          <w:tcPr>
            <w:tcW w:type="dxa" w:w="4392"/>
            <w:shd w:fill="17365D"/>
            <w:tcMar>
              <w:top w:w="80" w:type="dxa"/>
              <w:start w:w="90" w:type="dxa"/>
              <w:bottom w:w="80" w:type="dxa"/>
              <w:end w:w="90" w:type="dxa"/>
            </w:tcMar>
            <w:vAlign w:val="center"/>
          </w:tcPr>
          <w:p>
            <w:pPr>
              <w:jc w:val="center"/>
            </w:pPr>
            <w:r>
              <w:rPr>
                <w:b/>
                <w:color w:val="FFFFFF"/>
                <w:sz w:val="13"/>
              </w:rPr>
              <w:t>Build inside this phase</w:t>
            </w:r>
          </w:p>
        </w:tc>
        <w:tc>
          <w:tcPr>
            <w:tcW w:type="dxa" w:w="2520"/>
            <w:shd w:fill="17365D"/>
            <w:tcMar>
              <w:top w:w="80" w:type="dxa"/>
              <w:start w:w="90" w:type="dxa"/>
              <w:bottom w:w="80" w:type="dxa"/>
              <w:end w:w="90" w:type="dxa"/>
            </w:tcMar>
            <w:vAlign w:val="center"/>
          </w:tcPr>
          <w:p>
            <w:pPr>
              <w:jc w:val="center"/>
            </w:pPr>
            <w:r>
              <w:rPr>
                <w:b/>
                <w:color w:val="FFFFFF"/>
                <w:sz w:val="13"/>
              </w:rPr>
              <w:t>Deliverable</w:t>
            </w:r>
          </w:p>
        </w:tc>
        <w:tc>
          <w:tcPr>
            <w:tcW w:type="dxa" w:w="2232"/>
            <w:shd w:fill="17365D"/>
            <w:tcMar>
              <w:top w:w="80" w:type="dxa"/>
              <w:start w:w="90" w:type="dxa"/>
              <w:bottom w:w="80" w:type="dxa"/>
              <w:end w:w="90" w:type="dxa"/>
            </w:tcMar>
            <w:vAlign w:val="center"/>
          </w:tcPr>
          <w:p>
            <w:pPr>
              <w:jc w:val="center"/>
            </w:pPr>
            <w:r>
              <w:rPr>
                <w:b/>
                <w:color w:val="FFFFFF"/>
                <w:sz w:val="13"/>
              </w:rPr>
              <w:t>Exit gate</w:t>
            </w:r>
          </w:p>
        </w:tc>
      </w:tr>
      <w:tr>
        <w:trPr>
          <w:cantSplit/>
        </w:trPr>
        <w:tc>
          <w:tcPr>
            <w:tcW w:type="dxa" w:w="1656"/>
            <w:tcMar>
              <w:top w:w="80" w:type="dxa"/>
              <w:start w:w="90" w:type="dxa"/>
              <w:bottom w:w="80" w:type="dxa"/>
              <w:end w:w="90" w:type="dxa"/>
            </w:tcMar>
            <w:vAlign w:val="top"/>
          </w:tcPr>
          <w:p>
            <w:pPr>
              <w:spacing w:after="0"/>
            </w:pPr>
            <w:r>
              <w:rPr>
                <w:color w:val="1F2933"/>
                <w:sz w:val="13"/>
              </w:rPr>
              <w:t>P0 — Architecture Freeze</w:t>
            </w:r>
          </w:p>
        </w:tc>
        <w:tc>
          <w:tcPr>
            <w:tcW w:type="dxa" w:w="4392"/>
            <w:tcMar>
              <w:top w:w="80" w:type="dxa"/>
              <w:start w:w="90" w:type="dxa"/>
              <w:bottom w:w="80" w:type="dxa"/>
              <w:end w:w="90" w:type="dxa"/>
            </w:tcMar>
            <w:vAlign w:val="top"/>
          </w:tcPr>
          <w:p>
            <w:pPr>
              <w:spacing w:after="0"/>
            </w:pPr>
            <w:r>
              <w:rPr>
                <w:color w:val="1F2933"/>
                <w:sz w:val="13"/>
              </w:rPr>
              <w:t>Finalize HLD/LLD, contracts, state machines, invariants, configuration/version rules and phase gates.</w:t>
            </w:r>
          </w:p>
        </w:tc>
        <w:tc>
          <w:tcPr>
            <w:tcW w:type="dxa" w:w="2520"/>
            <w:tcMar>
              <w:top w:w="80" w:type="dxa"/>
              <w:start w:w="90" w:type="dxa"/>
              <w:bottom w:w="80" w:type="dxa"/>
              <w:end w:w="90" w:type="dxa"/>
            </w:tcMar>
            <w:vAlign w:val="top"/>
          </w:tcPr>
          <w:p>
            <w:pPr>
              <w:spacing w:after="0"/>
            </w:pPr>
            <w:r>
              <w:rPr>
                <w:color w:val="1F2933"/>
                <w:sz w:val="13"/>
              </w:rPr>
              <w:t>One canonical architecture document; component/contract checklist; no unresolved critical design question.</w:t>
            </w:r>
          </w:p>
        </w:tc>
        <w:tc>
          <w:tcPr>
            <w:tcW w:type="dxa" w:w="2232"/>
            <w:tcMar>
              <w:top w:w="80" w:type="dxa"/>
              <w:start w:w="90" w:type="dxa"/>
              <w:bottom w:w="80" w:type="dxa"/>
              <w:end w:w="90" w:type="dxa"/>
            </w:tcMar>
            <w:vAlign w:val="top"/>
          </w:tcPr>
          <w:p>
            <w:pPr>
              <w:spacing w:after="0"/>
            </w:pPr>
            <w:r>
              <w:rPr>
                <w:color w:val="1F2933"/>
                <w:sz w:val="13"/>
              </w:rPr>
              <w:t>Architecture approved enough to code.</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P1 — Repository &amp; Engineering Foundation</w:t>
            </w:r>
          </w:p>
        </w:tc>
        <w:tc>
          <w:tcPr>
            <w:tcW w:type="dxa" w:w="4392"/>
            <w:tcMar>
              <w:top w:w="80" w:type="dxa"/>
              <w:start w:w="90" w:type="dxa"/>
              <w:bottom w:w="80" w:type="dxa"/>
              <w:end w:w="90" w:type="dxa"/>
            </w:tcMar>
            <w:shd w:fill="F7F9FB"/>
            <w:vAlign w:val="top"/>
          </w:tcPr>
          <w:p>
            <w:pPr>
              <w:spacing w:after="0"/>
            </w:pPr>
            <w:r>
              <w:rPr>
                <w:color w:val="1F2933"/>
                <w:sz w:val="13"/>
              </w:rPr>
              <w:t>Minimal Python project, pyproject/lock, config loader, structured logging, IDs/time helpers, test framework, CI, Docker Compose skeleton.</w:t>
            </w:r>
          </w:p>
        </w:tc>
        <w:tc>
          <w:tcPr>
            <w:tcW w:type="dxa" w:w="2520"/>
            <w:tcMar>
              <w:top w:w="80" w:type="dxa"/>
              <w:start w:w="90" w:type="dxa"/>
              <w:bottom w:w="80" w:type="dxa"/>
              <w:end w:w="90" w:type="dxa"/>
            </w:tcMar>
            <w:shd w:fill="F7F9FB"/>
            <w:vAlign w:val="top"/>
          </w:tcPr>
          <w:p>
            <w:pPr>
              <w:spacing w:after="0"/>
            </w:pPr>
            <w:r>
              <w:rPr>
                <w:color w:val="1F2933"/>
                <w:sz w:val="13"/>
              </w:rPr>
              <w:t>Fresh clone runs lint/type/unit tests with one command.</w:t>
            </w:r>
          </w:p>
        </w:tc>
        <w:tc>
          <w:tcPr>
            <w:tcW w:type="dxa" w:w="2232"/>
            <w:tcMar>
              <w:top w:w="80" w:type="dxa"/>
              <w:start w:w="90" w:type="dxa"/>
              <w:bottom w:w="80" w:type="dxa"/>
              <w:end w:w="90" w:type="dxa"/>
            </w:tcMar>
            <w:shd w:fill="F7F9FB"/>
            <w:vAlign w:val="top"/>
          </w:tcPr>
          <w:p>
            <w:pPr>
              <w:spacing w:after="0"/>
            </w:pPr>
            <w:r>
              <w:rPr>
                <w:color w:val="1F2933"/>
                <w:sz w:val="13"/>
              </w:rPr>
              <w:t>Clean CI; reproducible local environment.</w:t>
            </w:r>
          </w:p>
        </w:tc>
      </w:tr>
      <w:tr>
        <w:trPr>
          <w:cantSplit/>
        </w:trPr>
        <w:tc>
          <w:tcPr>
            <w:tcW w:type="dxa" w:w="1656"/>
            <w:tcMar>
              <w:top w:w="80" w:type="dxa"/>
              <w:start w:w="90" w:type="dxa"/>
              <w:bottom w:w="80" w:type="dxa"/>
              <w:end w:w="90" w:type="dxa"/>
            </w:tcMar>
            <w:vAlign w:val="top"/>
          </w:tcPr>
          <w:p>
            <w:pPr>
              <w:spacing w:after="0"/>
            </w:pPr>
            <w:r>
              <w:rPr>
                <w:color w:val="1F2933"/>
                <w:sz w:val="13"/>
              </w:rPr>
              <w:t>P2 — Core Domain + Time / Session / Reference</w:t>
            </w:r>
          </w:p>
        </w:tc>
        <w:tc>
          <w:tcPr>
            <w:tcW w:type="dxa" w:w="4392"/>
            <w:tcMar>
              <w:top w:w="80" w:type="dxa"/>
              <w:start w:w="90" w:type="dxa"/>
              <w:bottom w:w="80" w:type="dxa"/>
              <w:end w:w="90" w:type="dxa"/>
            </w:tcMar>
            <w:vAlign w:val="top"/>
          </w:tcPr>
          <w:p>
            <w:pPr>
              <w:spacing w:after="0"/>
            </w:pPr>
            <w:r>
              <w:rPr>
                <w:color w:val="1F2933"/>
                <w:sz w:val="13"/>
              </w:rPr>
              <w:t>Implement enums/models for Instrument, EventEnvelope, session/calendar, effective-dated lot/tick/expiry/fees, environment and version metadata.</w:t>
            </w:r>
          </w:p>
        </w:tc>
        <w:tc>
          <w:tcPr>
            <w:tcW w:type="dxa" w:w="2520"/>
            <w:tcMar>
              <w:top w:w="80" w:type="dxa"/>
              <w:start w:w="90" w:type="dxa"/>
              <w:bottom w:w="80" w:type="dxa"/>
              <w:end w:w="90" w:type="dxa"/>
            </w:tcMar>
            <w:vAlign w:val="top"/>
          </w:tcPr>
          <w:p>
            <w:pPr>
              <w:spacing w:after="0"/>
            </w:pPr>
            <w:r>
              <w:rPr>
                <w:color w:val="1F2933"/>
                <w:sz w:val="13"/>
              </w:rPr>
              <w:t>Domain models + instrument master + trading calendar + synthetic fixtures.</w:t>
            </w:r>
          </w:p>
        </w:tc>
        <w:tc>
          <w:tcPr>
            <w:tcW w:type="dxa" w:w="2232"/>
            <w:tcMar>
              <w:top w:w="80" w:type="dxa"/>
              <w:start w:w="90" w:type="dxa"/>
              <w:bottom w:w="80" w:type="dxa"/>
              <w:end w:w="90" w:type="dxa"/>
            </w:tcMar>
            <w:vAlign w:val="top"/>
          </w:tcPr>
          <w:p>
            <w:pPr>
              <w:spacing w:after="0"/>
            </w:pPr>
            <w:r>
              <w:rPr>
                <w:color w:val="1F2933"/>
                <w:sz w:val="13"/>
              </w:rPr>
              <w:t>Point-in-time instrument/session correctness tests pass.</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P3 — Historical / Live Data Adapters + Raw Recorder</w:t>
            </w:r>
          </w:p>
        </w:tc>
        <w:tc>
          <w:tcPr>
            <w:tcW w:type="dxa" w:w="4392"/>
            <w:tcMar>
              <w:top w:w="80" w:type="dxa"/>
              <w:start w:w="90" w:type="dxa"/>
              <w:bottom w:w="80" w:type="dxa"/>
              <w:end w:w="90" w:type="dxa"/>
            </w:tcMar>
            <w:shd w:fill="F7F9FB"/>
            <w:vAlign w:val="top"/>
          </w:tcPr>
          <w:p>
            <w:pPr>
              <w:spacing w:after="0"/>
            </w:pPr>
            <w:r>
              <w:rPr>
                <w:color w:val="1F2933"/>
                <w:sz w:val="13"/>
              </w:rPr>
              <w:t>MarketDataAdapter, HistoricalDataAdapter, one provider first, normalizer, append-only Parquet writer, checksums/manifests.</w:t>
            </w:r>
          </w:p>
        </w:tc>
        <w:tc>
          <w:tcPr>
            <w:tcW w:type="dxa" w:w="2520"/>
            <w:tcMar>
              <w:top w:w="80" w:type="dxa"/>
              <w:start w:w="90" w:type="dxa"/>
              <w:bottom w:w="80" w:type="dxa"/>
              <w:end w:w="90" w:type="dxa"/>
            </w:tcMar>
            <w:shd w:fill="F7F9FB"/>
            <w:vAlign w:val="top"/>
          </w:tcPr>
          <w:p>
            <w:pPr>
              <w:spacing w:after="0"/>
            </w:pPr>
            <w:r>
              <w:rPr>
                <w:color w:val="1F2933"/>
                <w:sz w:val="13"/>
              </w:rPr>
              <w:t>Historical downloader + live recorder + canonical raw schema.</w:t>
            </w:r>
          </w:p>
        </w:tc>
        <w:tc>
          <w:tcPr>
            <w:tcW w:type="dxa" w:w="2232"/>
            <w:tcMar>
              <w:top w:w="80" w:type="dxa"/>
              <w:start w:w="90" w:type="dxa"/>
              <w:bottom w:w="80" w:type="dxa"/>
              <w:end w:w="90" w:type="dxa"/>
            </w:tcMar>
            <w:shd w:fill="F7F9FB"/>
            <w:vAlign w:val="top"/>
          </w:tcPr>
          <w:p>
            <w:pPr>
              <w:spacing w:after="0"/>
            </w:pPr>
            <w:r>
              <w:rPr>
                <w:color w:val="1F2933"/>
                <w:sz w:val="13"/>
              </w:rPr>
              <w:t>Can ingest/replay a small market day reproducibly.</w:t>
            </w:r>
          </w:p>
        </w:tc>
      </w:tr>
      <w:tr>
        <w:trPr>
          <w:cantSplit/>
        </w:trPr>
        <w:tc>
          <w:tcPr>
            <w:tcW w:type="dxa" w:w="1656"/>
            <w:tcMar>
              <w:top w:w="80" w:type="dxa"/>
              <w:start w:w="90" w:type="dxa"/>
              <w:bottom w:w="80" w:type="dxa"/>
              <w:end w:w="90" w:type="dxa"/>
            </w:tcMar>
            <w:vAlign w:val="top"/>
          </w:tcPr>
          <w:p>
            <w:pPr>
              <w:spacing w:after="0"/>
            </w:pPr>
            <w:r>
              <w:rPr>
                <w:color w:val="1F2933"/>
                <w:sz w:val="13"/>
              </w:rPr>
              <w:t>P4 — Data Quality + Watermark + Canonical Market State</w:t>
            </w:r>
          </w:p>
        </w:tc>
        <w:tc>
          <w:tcPr>
            <w:tcW w:type="dxa" w:w="4392"/>
            <w:tcMar>
              <w:top w:w="80" w:type="dxa"/>
              <w:start w:w="90" w:type="dxa"/>
              <w:bottom w:w="80" w:type="dxa"/>
              <w:end w:w="90" w:type="dxa"/>
            </w:tcMar>
            <w:vAlign w:val="top"/>
          </w:tcPr>
          <w:p>
            <w:pPr>
              <w:spacing w:after="0"/>
            </w:pPr>
            <w:r>
              <w:rPr>
                <w:color w:val="1F2933"/>
                <w:sz w:val="13"/>
              </w:rPr>
              <w:t>Duplicate/gap/stale/crossed quote checks, source timestamps, watermarks, option chain checkpoint/delta state, bounded hot state.</w:t>
            </w:r>
          </w:p>
        </w:tc>
        <w:tc>
          <w:tcPr>
            <w:tcW w:type="dxa" w:w="2520"/>
            <w:tcMar>
              <w:top w:w="80" w:type="dxa"/>
              <w:start w:w="90" w:type="dxa"/>
              <w:bottom w:w="80" w:type="dxa"/>
              <w:end w:w="90" w:type="dxa"/>
            </w:tcMar>
            <w:vAlign w:val="top"/>
          </w:tcPr>
          <w:p>
            <w:pPr>
              <w:spacing w:after="0"/>
            </w:pPr>
            <w:r>
              <w:rPr>
                <w:color w:val="1F2933"/>
                <w:sz w:val="13"/>
              </w:rPr>
              <w:t>DataQualityState + MarketStateSnapshot + quarantine path.</w:t>
            </w:r>
          </w:p>
        </w:tc>
        <w:tc>
          <w:tcPr>
            <w:tcW w:type="dxa" w:w="2232"/>
            <w:tcMar>
              <w:top w:w="80" w:type="dxa"/>
              <w:start w:w="90" w:type="dxa"/>
              <w:bottom w:w="80" w:type="dxa"/>
              <w:end w:w="90" w:type="dxa"/>
            </w:tcMar>
            <w:vAlign w:val="top"/>
          </w:tcPr>
          <w:p>
            <w:pPr>
              <w:spacing w:after="0"/>
            </w:pPr>
            <w:r>
              <w:rPr>
                <w:color w:val="1F2933"/>
                <w:sz w:val="13"/>
              </w:rPr>
              <w:t>Bad/stale data cannot silently enter decisions.</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P5 — Real-Time Universe Scanner + Multi-Timeframe Aggregation</w:t>
            </w:r>
          </w:p>
        </w:tc>
        <w:tc>
          <w:tcPr>
            <w:tcW w:type="dxa" w:w="4392"/>
            <w:tcMar>
              <w:top w:w="80" w:type="dxa"/>
              <w:start w:w="90" w:type="dxa"/>
              <w:bottom w:w="80" w:type="dxa"/>
              <w:end w:w="90" w:type="dxa"/>
            </w:tcMar>
            <w:shd w:fill="F7F9FB"/>
            <w:vAlign w:val="top"/>
          </w:tcPr>
          <w:p>
            <w:pPr>
              <w:spacing w:after="0"/>
            </w:pPr>
            <w:r>
              <w:rPr>
                <w:color w:val="1F2933"/>
                <w:sz w:val="13"/>
              </w:rPr>
              <w:t>Parallel NIFTY/BANKNIFTY/SENSEX state, candle aggregation, dynamic option subscription/candidate universe, cross-index state.</w:t>
            </w:r>
          </w:p>
        </w:tc>
        <w:tc>
          <w:tcPr>
            <w:tcW w:type="dxa" w:w="2520"/>
            <w:tcMar>
              <w:top w:w="80" w:type="dxa"/>
              <w:start w:w="90" w:type="dxa"/>
              <w:bottom w:w="80" w:type="dxa"/>
              <w:end w:w="90" w:type="dxa"/>
            </w:tcMar>
            <w:shd w:fill="F7F9FB"/>
            <w:vAlign w:val="top"/>
          </w:tcPr>
          <w:p>
            <w:pPr>
              <w:spacing w:after="0"/>
            </w:pPr>
            <w:r>
              <w:rPr>
                <w:color w:val="1F2933"/>
                <w:sz w:val="13"/>
              </w:rPr>
              <w:t>RealTimeUniverseScanner emits synchronized snapshots.</w:t>
            </w:r>
          </w:p>
        </w:tc>
        <w:tc>
          <w:tcPr>
            <w:tcW w:type="dxa" w:w="2232"/>
            <w:tcMar>
              <w:top w:w="80" w:type="dxa"/>
              <w:start w:w="90" w:type="dxa"/>
              <w:bottom w:w="80" w:type="dxa"/>
              <w:end w:w="90" w:type="dxa"/>
            </w:tcMar>
            <w:shd w:fill="F7F9FB"/>
            <w:vAlign w:val="top"/>
          </w:tcPr>
          <w:p>
            <w:pPr>
              <w:spacing w:after="0"/>
            </w:pPr>
            <w:r>
              <w:rPr>
                <w:color w:val="1F2933"/>
                <w:sz w:val="13"/>
              </w:rPr>
              <w:t>All monitored markets update concurrently within performance budget.</w:t>
            </w:r>
          </w:p>
        </w:tc>
      </w:tr>
      <w:tr>
        <w:trPr>
          <w:cantSplit/>
        </w:trPr>
        <w:tc>
          <w:tcPr>
            <w:tcW w:type="dxa" w:w="1656"/>
            <w:tcMar>
              <w:top w:w="80" w:type="dxa"/>
              <w:start w:w="90" w:type="dxa"/>
              <w:bottom w:w="80" w:type="dxa"/>
              <w:end w:w="90" w:type="dxa"/>
            </w:tcMar>
            <w:vAlign w:val="top"/>
          </w:tcPr>
          <w:p>
            <w:pPr>
              <w:spacing w:after="0"/>
            </w:pPr>
            <w:r>
              <w:rPr>
                <w:color w:val="1F2933"/>
                <w:sz w:val="13"/>
              </w:rPr>
              <w:t>P6 — Baseline Features + Baseline Strategy V0</w:t>
            </w:r>
          </w:p>
        </w:tc>
        <w:tc>
          <w:tcPr>
            <w:tcW w:type="dxa" w:w="4392"/>
            <w:tcMar>
              <w:top w:w="80" w:type="dxa"/>
              <w:start w:w="90" w:type="dxa"/>
              <w:bottom w:w="80" w:type="dxa"/>
              <w:end w:w="90" w:type="dxa"/>
            </w:tcMar>
            <w:vAlign w:val="top"/>
          </w:tcPr>
          <w:p>
            <w:pPr>
              <w:spacing w:after="0"/>
            </w:pPr>
            <w:r>
              <w:rPr>
                <w:color w:val="1F2933"/>
                <w:sz w:val="13"/>
              </w:rPr>
              <w:t>TA-Lib/verified indicators, EMA14/20 + RSI14/20, simple multi-timeframe context, deterministic SignalCandidate.</w:t>
            </w:r>
          </w:p>
        </w:tc>
        <w:tc>
          <w:tcPr>
            <w:tcW w:type="dxa" w:w="2520"/>
            <w:tcMar>
              <w:top w:w="80" w:type="dxa"/>
              <w:start w:w="90" w:type="dxa"/>
              <w:bottom w:w="80" w:type="dxa"/>
              <w:end w:w="90" w:type="dxa"/>
            </w:tcMar>
            <w:vAlign w:val="top"/>
          </w:tcPr>
          <w:p>
            <w:pPr>
              <w:spacing w:after="0"/>
            </w:pPr>
            <w:r>
              <w:rPr>
                <w:color w:val="1F2933"/>
                <w:sz w:val="13"/>
              </w:rPr>
              <w:t>Known-value indicator tests + frozen baseline outputs.</w:t>
            </w:r>
          </w:p>
        </w:tc>
        <w:tc>
          <w:tcPr>
            <w:tcW w:type="dxa" w:w="2232"/>
            <w:tcMar>
              <w:top w:w="80" w:type="dxa"/>
              <w:start w:w="90" w:type="dxa"/>
              <w:bottom w:w="80" w:type="dxa"/>
              <w:end w:w="90" w:type="dxa"/>
            </w:tcMar>
            <w:vAlign w:val="top"/>
          </w:tcPr>
          <w:p>
            <w:pPr>
              <w:spacing w:after="0"/>
            </w:pPr>
            <w:r>
              <w:rPr>
                <w:color w:val="1F2933"/>
                <w:sz w:val="13"/>
              </w:rPr>
              <w:t>Baseline reproducible; no broker code involved.</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P7 — Event-Driven Backtest Engine</w:t>
            </w:r>
          </w:p>
        </w:tc>
        <w:tc>
          <w:tcPr>
            <w:tcW w:type="dxa" w:w="4392"/>
            <w:tcMar>
              <w:top w:w="80" w:type="dxa"/>
              <w:start w:w="90" w:type="dxa"/>
              <w:bottom w:w="80" w:type="dxa"/>
              <w:end w:w="90" w:type="dxa"/>
            </w:tcMar>
            <w:shd w:fill="F7F9FB"/>
            <w:vAlign w:val="top"/>
          </w:tcPr>
          <w:p>
            <w:pPr>
              <w:spacing w:after="0"/>
            </w:pPr>
            <w:r>
              <w:rPr>
                <w:color w:val="1F2933"/>
                <w:sz w:val="13"/>
              </w:rPr>
              <w:t>Historical clock, event ordering, fill simulator, fees/taxes/spread/slippage/latency, ledger, MAE/MFE, experiment registry.</w:t>
            </w:r>
          </w:p>
        </w:tc>
        <w:tc>
          <w:tcPr>
            <w:tcW w:type="dxa" w:w="2520"/>
            <w:tcMar>
              <w:top w:w="80" w:type="dxa"/>
              <w:start w:w="90" w:type="dxa"/>
              <w:bottom w:w="80" w:type="dxa"/>
              <w:end w:w="90" w:type="dxa"/>
            </w:tcMar>
            <w:shd w:fill="F7F9FB"/>
            <w:vAlign w:val="top"/>
          </w:tcPr>
          <w:p>
            <w:pPr>
              <w:spacing w:after="0"/>
            </w:pPr>
            <w:r>
              <w:rPr>
                <w:color w:val="1F2933"/>
                <w:sz w:val="13"/>
              </w:rPr>
              <w:t>First baseline experiment with lineage and report.</w:t>
            </w:r>
          </w:p>
        </w:tc>
        <w:tc>
          <w:tcPr>
            <w:tcW w:type="dxa" w:w="2232"/>
            <w:tcMar>
              <w:top w:w="80" w:type="dxa"/>
              <w:start w:w="90" w:type="dxa"/>
              <w:bottom w:w="80" w:type="dxa"/>
              <w:end w:w="90" w:type="dxa"/>
            </w:tcMar>
            <w:shd w:fill="F7F9FB"/>
            <w:vAlign w:val="top"/>
          </w:tcPr>
          <w:p>
            <w:pPr>
              <w:spacing w:after="0"/>
            </w:pPr>
            <w:r>
              <w:rPr>
                <w:color w:val="1F2933"/>
                <w:sz w:val="13"/>
              </w:rPr>
              <w:t>Leakage/cost/regression tests pass.</w:t>
            </w:r>
          </w:p>
        </w:tc>
      </w:tr>
      <w:tr>
        <w:trPr>
          <w:cantSplit/>
        </w:trPr>
        <w:tc>
          <w:tcPr>
            <w:tcW w:type="dxa" w:w="1656"/>
            <w:tcMar>
              <w:top w:w="80" w:type="dxa"/>
              <w:start w:w="90" w:type="dxa"/>
              <w:bottom w:w="80" w:type="dxa"/>
              <w:end w:w="90" w:type="dxa"/>
            </w:tcMar>
            <w:vAlign w:val="top"/>
          </w:tcPr>
          <w:p>
            <w:pPr>
              <w:spacing w:after="0"/>
            </w:pPr>
            <w:r>
              <w:rPr>
                <w:color w:val="1F2933"/>
                <w:sz w:val="13"/>
              </w:rPr>
              <w:t>P8 — Market Intelligence</w:t>
            </w:r>
          </w:p>
        </w:tc>
        <w:tc>
          <w:tcPr>
            <w:tcW w:type="dxa" w:w="4392"/>
            <w:tcMar>
              <w:top w:w="80" w:type="dxa"/>
              <w:start w:w="90" w:type="dxa"/>
              <w:bottom w:w="80" w:type="dxa"/>
              <w:end w:w="90" w:type="dxa"/>
            </w:tcMar>
            <w:vAlign w:val="top"/>
          </w:tcPr>
          <w:p>
            <w:pPr>
              <w:spacing w:after="0"/>
            </w:pPr>
            <w:r>
              <w:rPr>
                <w:color w:val="1F2933"/>
                <w:sz w:val="13"/>
              </w:rPr>
              <w:t>Structure, swings, HH/HL/LH/LL, BOS/CHoCH, SR, VWAP, volume profile, volatility, Fibonacci, time-of-day, events, regime transitions/hysteresis.</w:t>
            </w:r>
          </w:p>
        </w:tc>
        <w:tc>
          <w:tcPr>
            <w:tcW w:type="dxa" w:w="2520"/>
            <w:tcMar>
              <w:top w:w="80" w:type="dxa"/>
              <w:start w:w="90" w:type="dxa"/>
              <w:bottom w:w="80" w:type="dxa"/>
              <w:end w:w="90" w:type="dxa"/>
            </w:tcMar>
            <w:vAlign w:val="top"/>
          </w:tcPr>
          <w:p>
            <w:pPr>
              <w:spacing w:after="0"/>
            </w:pPr>
            <w:r>
              <w:rPr>
                <w:color w:val="1F2933"/>
                <w:sz w:val="13"/>
              </w:rPr>
              <w:t>Versioned feature families with ablation reports.</w:t>
            </w:r>
          </w:p>
        </w:tc>
        <w:tc>
          <w:tcPr>
            <w:tcW w:type="dxa" w:w="2232"/>
            <w:tcMar>
              <w:top w:w="80" w:type="dxa"/>
              <w:start w:w="90" w:type="dxa"/>
              <w:bottom w:w="80" w:type="dxa"/>
              <w:end w:w="90" w:type="dxa"/>
            </w:tcMar>
            <w:vAlign w:val="top"/>
          </w:tcPr>
          <w:p>
            <w:pPr>
              <w:spacing w:after="0"/>
            </w:pPr>
            <w:r>
              <w:rPr>
                <w:color w:val="1F2933"/>
                <w:sz w:val="13"/>
              </w:rPr>
              <w:t>Only evidence-backed features remain candidates.</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P9 — Options Intelligence</w:t>
            </w:r>
          </w:p>
        </w:tc>
        <w:tc>
          <w:tcPr>
            <w:tcW w:type="dxa" w:w="4392"/>
            <w:tcMar>
              <w:top w:w="80" w:type="dxa"/>
              <w:start w:w="90" w:type="dxa"/>
              <w:bottom w:w="80" w:type="dxa"/>
              <w:end w:w="90" w:type="dxa"/>
            </w:tcMar>
            <w:shd w:fill="F7F9FB"/>
            <w:vAlign w:val="top"/>
          </w:tcPr>
          <w:p>
            <w:pPr>
              <w:spacing w:after="0"/>
            </w:pPr>
            <w:r>
              <w:rPr>
                <w:color w:val="1F2933"/>
                <w:sz w:val="13"/>
              </w:rPr>
              <w:t>Point-in-time chain analytics, IV/Greeks/OI/volume/spread/depth, dynamic strike/expiry selection, expected option response/cost.</w:t>
            </w:r>
          </w:p>
        </w:tc>
        <w:tc>
          <w:tcPr>
            <w:tcW w:type="dxa" w:w="2520"/>
            <w:tcMar>
              <w:top w:w="80" w:type="dxa"/>
              <w:start w:w="90" w:type="dxa"/>
              <w:bottom w:w="80" w:type="dxa"/>
              <w:end w:w="90" w:type="dxa"/>
            </w:tcMar>
            <w:shd w:fill="F7F9FB"/>
            <w:vAlign w:val="top"/>
          </w:tcPr>
          <w:p>
            <w:pPr>
              <w:spacing w:after="0"/>
            </w:pPr>
            <w:r>
              <w:rPr>
                <w:color w:val="1F2933"/>
                <w:sz w:val="13"/>
              </w:rPr>
              <w:t>OptionCandidate + contract-selection report.</w:t>
            </w:r>
          </w:p>
        </w:tc>
        <w:tc>
          <w:tcPr>
            <w:tcW w:type="dxa" w:w="2232"/>
            <w:tcMar>
              <w:top w:w="80" w:type="dxa"/>
              <w:start w:w="90" w:type="dxa"/>
              <w:bottom w:w="80" w:type="dxa"/>
              <w:end w:w="90" w:type="dxa"/>
            </w:tcMar>
            <w:shd w:fill="F7F9FB"/>
            <w:vAlign w:val="top"/>
          </w:tcPr>
          <w:p>
            <w:pPr>
              <w:spacing w:after="0"/>
            </w:pPr>
            <w:r>
              <w:rPr>
                <w:color w:val="1F2933"/>
                <w:sz w:val="13"/>
              </w:rPr>
              <w:t>No strong underlying signal can bypass poor option economics.</w:t>
            </w:r>
          </w:p>
        </w:tc>
      </w:tr>
      <w:tr>
        <w:trPr>
          <w:cantSplit/>
        </w:trPr>
        <w:tc>
          <w:tcPr>
            <w:tcW w:type="dxa" w:w="1656"/>
            <w:tcMar>
              <w:top w:w="80" w:type="dxa"/>
              <w:start w:w="90" w:type="dxa"/>
              <w:bottom w:w="80" w:type="dxa"/>
              <w:end w:w="90" w:type="dxa"/>
            </w:tcMar>
            <w:vAlign w:val="top"/>
          </w:tcPr>
          <w:p>
            <w:pPr>
              <w:spacing w:after="0"/>
            </w:pPr>
            <w:r>
              <w:rPr>
                <w:color w:val="1F2933"/>
                <w:sz w:val="13"/>
              </w:rPr>
              <w:t>P10 — Opportunity / Uncertainty / Global Ranking</w:t>
            </w:r>
          </w:p>
        </w:tc>
        <w:tc>
          <w:tcPr>
            <w:tcW w:type="dxa" w:w="4392"/>
            <w:tcMar>
              <w:top w:w="80" w:type="dxa"/>
              <w:start w:w="90" w:type="dxa"/>
              <w:bottom w:w="80" w:type="dxa"/>
              <w:end w:w="90" w:type="dxa"/>
            </w:tcMar>
            <w:vAlign w:val="top"/>
          </w:tcPr>
          <w:p>
            <w:pPr>
              <w:spacing w:after="0"/>
            </w:pPr>
            <w:r>
              <w:rPr>
                <w:color w:val="1F2933"/>
                <w:sz w:val="13"/>
              </w:rPr>
              <w:t>Move stage, remaining move, chasing/exhaustion, expected value, CE/PE/WAIT/NO_TRADE/UNCERTAIN, cross-index ranking.</w:t>
            </w:r>
          </w:p>
        </w:tc>
        <w:tc>
          <w:tcPr>
            <w:tcW w:type="dxa" w:w="2520"/>
            <w:tcMar>
              <w:top w:w="80" w:type="dxa"/>
              <w:start w:w="90" w:type="dxa"/>
              <w:bottom w:w="80" w:type="dxa"/>
              <w:end w:w="90" w:type="dxa"/>
            </w:tcMar>
            <w:vAlign w:val="top"/>
          </w:tcPr>
          <w:p>
            <w:pPr>
              <w:spacing w:after="0"/>
            </w:pPr>
            <w:r>
              <w:rPr>
                <w:color w:val="1F2933"/>
                <w:sz w:val="13"/>
              </w:rPr>
              <w:t>OpportunityDecision + GlobalOpportunityRanker.</w:t>
            </w:r>
          </w:p>
        </w:tc>
        <w:tc>
          <w:tcPr>
            <w:tcW w:type="dxa" w:w="2232"/>
            <w:tcMar>
              <w:top w:w="80" w:type="dxa"/>
              <w:start w:w="90" w:type="dxa"/>
              <w:bottom w:w="80" w:type="dxa"/>
              <w:end w:w="90" w:type="dxa"/>
            </w:tcMar>
            <w:vAlign w:val="top"/>
          </w:tcPr>
          <w:p>
            <w:pPr>
              <w:spacing w:after="0"/>
            </w:pPr>
            <w:r>
              <w:rPr>
                <w:color w:val="1F2933"/>
                <w:sz w:val="13"/>
              </w:rPr>
              <w:t>Deterministic decisions and reason codes for frozen inputs.</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P11 — Portfolio / Capital / Risk / Safety / Exit</w:t>
            </w:r>
          </w:p>
        </w:tc>
        <w:tc>
          <w:tcPr>
            <w:tcW w:type="dxa" w:w="4392"/>
            <w:tcMar>
              <w:top w:w="80" w:type="dxa"/>
              <w:start w:w="90" w:type="dxa"/>
              <w:bottom w:w="80" w:type="dxa"/>
              <w:end w:w="90" w:type="dxa"/>
            </w:tcMar>
            <w:shd w:fill="F7F9FB"/>
            <w:vAlign w:val="top"/>
          </w:tcPr>
          <w:p>
            <w:pPr>
              <w:spacing w:after="0"/>
            </w:pPr>
            <w:r>
              <w:rPr>
                <w:color w:val="1F2933"/>
                <w:sz w:val="13"/>
              </w:rPr>
              <w:t>Capital hierarchy, correlation/Greeks, hard limits, adaptive sizing within limits, Safety Kernel, decision TTL, pre-send rules, exits.</w:t>
            </w:r>
          </w:p>
        </w:tc>
        <w:tc>
          <w:tcPr>
            <w:tcW w:type="dxa" w:w="2520"/>
            <w:tcMar>
              <w:top w:w="80" w:type="dxa"/>
              <w:start w:w="90" w:type="dxa"/>
              <w:bottom w:w="80" w:type="dxa"/>
              <w:end w:w="90" w:type="dxa"/>
            </w:tcMar>
            <w:shd w:fill="F7F9FB"/>
            <w:vAlign w:val="top"/>
          </w:tcPr>
          <w:p>
            <w:pPr>
              <w:spacing w:after="0"/>
            </w:pPr>
            <w:r>
              <w:rPr>
                <w:color w:val="1F2933"/>
                <w:sz w:val="13"/>
              </w:rPr>
              <w:t>RiskDecision, SafetyDecision, portfolio state and stress tests.</w:t>
            </w:r>
          </w:p>
        </w:tc>
        <w:tc>
          <w:tcPr>
            <w:tcW w:type="dxa" w:w="2232"/>
            <w:tcMar>
              <w:top w:w="80" w:type="dxa"/>
              <w:start w:w="90" w:type="dxa"/>
              <w:bottom w:w="80" w:type="dxa"/>
              <w:end w:w="90" w:type="dxa"/>
            </w:tcMar>
            <w:shd w:fill="F7F9FB"/>
            <w:vAlign w:val="top"/>
          </w:tcPr>
          <w:p>
            <w:pPr>
              <w:spacing w:after="0"/>
            </w:pPr>
            <w:r>
              <w:rPr>
                <w:color w:val="1F2933"/>
                <w:sz w:val="13"/>
              </w:rPr>
              <w:t>Risk can veto independently; safety invariants cannot be bypassed.</w:t>
            </w:r>
          </w:p>
        </w:tc>
      </w:tr>
      <w:tr>
        <w:trPr>
          <w:cantSplit/>
        </w:trPr>
        <w:tc>
          <w:tcPr>
            <w:tcW w:type="dxa" w:w="1656"/>
            <w:tcMar>
              <w:top w:w="80" w:type="dxa"/>
              <w:start w:w="90" w:type="dxa"/>
              <w:bottom w:w="80" w:type="dxa"/>
              <w:end w:w="90" w:type="dxa"/>
            </w:tcMar>
            <w:vAlign w:val="top"/>
          </w:tcPr>
          <w:p>
            <w:pPr>
              <w:spacing w:after="0"/>
            </w:pPr>
            <w:r>
              <w:rPr>
                <w:color w:val="1F2933"/>
                <w:sz w:val="13"/>
              </w:rPr>
              <w:t>P12 — Broker Execution / Orders / Positions / Reconciliation</w:t>
            </w:r>
          </w:p>
        </w:tc>
        <w:tc>
          <w:tcPr>
            <w:tcW w:type="dxa" w:w="4392"/>
            <w:tcMar>
              <w:top w:w="80" w:type="dxa"/>
              <w:start w:w="90" w:type="dxa"/>
              <w:bottom w:w="80" w:type="dxa"/>
              <w:end w:w="90" w:type="dxa"/>
            </w:tcMar>
            <w:vAlign w:val="top"/>
          </w:tcPr>
          <w:p>
            <w:pPr>
              <w:spacing w:after="0"/>
            </w:pPr>
            <w:r>
              <w:rPr>
                <w:color w:val="1F2933"/>
                <w:sz w:val="13"/>
              </w:rPr>
              <w:t>ExecutionBrokerAdapter, capabilities, rate scheduler, PREPARE→SEND semantics, order/position state machines, reconciliation and idempotency.</w:t>
            </w:r>
          </w:p>
        </w:tc>
        <w:tc>
          <w:tcPr>
            <w:tcW w:type="dxa" w:w="2520"/>
            <w:tcMar>
              <w:top w:w="80" w:type="dxa"/>
              <w:start w:w="90" w:type="dxa"/>
              <w:bottom w:w="80" w:type="dxa"/>
              <w:end w:w="90" w:type="dxa"/>
            </w:tcMar>
            <w:vAlign w:val="top"/>
          </w:tcPr>
          <w:p>
            <w:pPr>
              <w:spacing w:after="0"/>
            </w:pPr>
            <w:r>
              <w:rPr>
                <w:color w:val="1F2933"/>
                <w:sz w:val="13"/>
              </w:rPr>
              <w:t>Mock/sandbox/paper adapter first; durable execution ledger.</w:t>
            </w:r>
          </w:p>
        </w:tc>
        <w:tc>
          <w:tcPr>
            <w:tcW w:type="dxa" w:w="2232"/>
            <w:tcMar>
              <w:top w:w="80" w:type="dxa"/>
              <w:start w:w="90" w:type="dxa"/>
              <w:bottom w:w="80" w:type="dxa"/>
              <w:end w:w="90" w:type="dxa"/>
            </w:tcMar>
            <w:vAlign w:val="top"/>
          </w:tcPr>
          <w:p>
            <w:pPr>
              <w:spacing w:after="0"/>
            </w:pPr>
            <w:r>
              <w:rPr>
                <w:color w:val="1F2933"/>
                <w:sz w:val="13"/>
              </w:rPr>
              <w:t>Timeout/partial/reject/duplicate/restart tests pass.</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P13 — Replay / Counterfactual / TCA / Attribution</w:t>
            </w:r>
          </w:p>
        </w:tc>
        <w:tc>
          <w:tcPr>
            <w:tcW w:type="dxa" w:w="4392"/>
            <w:tcMar>
              <w:top w:w="80" w:type="dxa"/>
              <w:start w:w="90" w:type="dxa"/>
              <w:bottom w:w="80" w:type="dxa"/>
              <w:end w:w="90" w:type="dxa"/>
            </w:tcMar>
            <w:shd w:fill="F7F9FB"/>
            <w:vAlign w:val="top"/>
          </w:tcPr>
          <w:p>
            <w:pPr>
              <w:spacing w:after="0"/>
            </w:pPr>
            <w:r>
              <w:rPr>
                <w:color w:val="1F2933"/>
                <w:sz w:val="13"/>
              </w:rPr>
              <w:t>Production-like market replay, skipped/late/alternate decision logging, transaction-cost analysis, P&amp;L/edge decomposition.</w:t>
            </w:r>
          </w:p>
        </w:tc>
        <w:tc>
          <w:tcPr>
            <w:tcW w:type="dxa" w:w="2520"/>
            <w:tcMar>
              <w:top w:w="80" w:type="dxa"/>
              <w:start w:w="90" w:type="dxa"/>
              <w:bottom w:w="80" w:type="dxa"/>
              <w:end w:w="90" w:type="dxa"/>
            </w:tcMar>
            <w:shd w:fill="F7F9FB"/>
            <w:vAlign w:val="top"/>
          </w:tcPr>
          <w:p>
            <w:pPr>
              <w:spacing w:after="0"/>
            </w:pPr>
            <w:r>
              <w:rPr>
                <w:color w:val="1F2933"/>
                <w:sz w:val="13"/>
              </w:rPr>
              <w:t>Replay reports + execution model feedback artifacts.</w:t>
            </w:r>
          </w:p>
        </w:tc>
        <w:tc>
          <w:tcPr>
            <w:tcW w:type="dxa" w:w="2232"/>
            <w:tcMar>
              <w:top w:w="80" w:type="dxa"/>
              <w:start w:w="90" w:type="dxa"/>
              <w:bottom w:w="80" w:type="dxa"/>
              <w:end w:w="90" w:type="dxa"/>
            </w:tcMar>
            <w:shd w:fill="F7F9FB"/>
            <w:vAlign w:val="top"/>
          </w:tcPr>
          <w:p>
            <w:pPr>
              <w:spacing w:after="0"/>
            </w:pPr>
            <w:r>
              <w:rPr>
                <w:color w:val="1F2933"/>
                <w:sz w:val="13"/>
              </w:rPr>
              <w:t>Replay decisions match expected deterministic state.</w:t>
            </w:r>
          </w:p>
        </w:tc>
      </w:tr>
      <w:tr>
        <w:trPr>
          <w:cantSplit/>
        </w:trPr>
        <w:tc>
          <w:tcPr>
            <w:tcW w:type="dxa" w:w="1656"/>
            <w:tcMar>
              <w:top w:w="80" w:type="dxa"/>
              <w:start w:w="90" w:type="dxa"/>
              <w:bottom w:w="80" w:type="dxa"/>
              <w:end w:w="90" w:type="dxa"/>
            </w:tcMar>
            <w:vAlign w:val="top"/>
          </w:tcPr>
          <w:p>
            <w:pPr>
              <w:spacing w:after="0"/>
            </w:pPr>
            <w:r>
              <w:rPr>
                <w:color w:val="1F2933"/>
                <w:sz w:val="13"/>
              </w:rPr>
              <w:t>P14 — Live Paper Trading</w:t>
            </w:r>
          </w:p>
        </w:tc>
        <w:tc>
          <w:tcPr>
            <w:tcW w:type="dxa" w:w="4392"/>
            <w:tcMar>
              <w:top w:w="80" w:type="dxa"/>
              <w:start w:w="90" w:type="dxa"/>
              <w:bottom w:w="80" w:type="dxa"/>
              <w:end w:w="90" w:type="dxa"/>
            </w:tcMar>
            <w:vAlign w:val="top"/>
          </w:tcPr>
          <w:p>
            <w:pPr>
              <w:spacing w:after="0"/>
            </w:pPr>
            <w:r>
              <w:rPr>
                <w:color w:val="1F2933"/>
                <w:sz w:val="13"/>
              </w:rPr>
              <w:t>Wire live data through full stack with simulated fills; dashboards/alerts; full-session operation.</w:t>
            </w:r>
          </w:p>
        </w:tc>
        <w:tc>
          <w:tcPr>
            <w:tcW w:type="dxa" w:w="2520"/>
            <w:tcMar>
              <w:top w:w="80" w:type="dxa"/>
              <w:start w:w="90" w:type="dxa"/>
              <w:bottom w:w="80" w:type="dxa"/>
              <w:end w:w="90" w:type="dxa"/>
            </w:tcMar>
            <w:vAlign w:val="top"/>
          </w:tcPr>
          <w:p>
            <w:pPr>
              <w:spacing w:after="0"/>
            </w:pPr>
            <w:r>
              <w:rPr>
                <w:color w:val="1F2933"/>
                <w:sz w:val="13"/>
              </w:rPr>
              <w:t>Paper deployment + daily readiness/post-market reports.</w:t>
            </w:r>
          </w:p>
        </w:tc>
        <w:tc>
          <w:tcPr>
            <w:tcW w:type="dxa" w:w="2232"/>
            <w:tcMar>
              <w:top w:w="80" w:type="dxa"/>
              <w:start w:w="90" w:type="dxa"/>
              <w:bottom w:w="80" w:type="dxa"/>
              <w:end w:w="90" w:type="dxa"/>
            </w:tcMar>
            <w:vAlign w:val="top"/>
          </w:tcPr>
          <w:p>
            <w:pPr>
              <w:spacing w:after="0"/>
            </w:pPr>
            <w:r>
              <w:rPr>
                <w:color w:val="1F2933"/>
                <w:sz w:val="13"/>
              </w:rPr>
              <w:t>Multiple full sessions stable without manual intervention.</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P15 — Reliability / Fault / Recovery / Performance</w:t>
            </w:r>
          </w:p>
        </w:tc>
        <w:tc>
          <w:tcPr>
            <w:tcW w:type="dxa" w:w="4392"/>
            <w:tcMar>
              <w:top w:w="80" w:type="dxa"/>
              <w:start w:w="90" w:type="dxa"/>
              <w:bottom w:w="80" w:type="dxa"/>
              <w:end w:w="90" w:type="dxa"/>
            </w:tcMar>
            <w:shd w:fill="F7F9FB"/>
            <w:vAlign w:val="top"/>
          </w:tcPr>
          <w:p>
            <w:pPr>
              <w:spacing w:after="0"/>
            </w:pPr>
            <w:r>
              <w:rPr>
                <w:color w:val="1F2933"/>
                <w:sz w:val="13"/>
              </w:rPr>
              <w:t>Fault injection, checkpoint/journal recovery, restart/reconnect, backpressure, latency p50/p95/p99, memory/disk growth, security scans.</w:t>
            </w:r>
          </w:p>
        </w:tc>
        <w:tc>
          <w:tcPr>
            <w:tcW w:type="dxa" w:w="2520"/>
            <w:tcMar>
              <w:top w:w="80" w:type="dxa"/>
              <w:start w:w="90" w:type="dxa"/>
              <w:bottom w:w="80" w:type="dxa"/>
              <w:end w:w="90" w:type="dxa"/>
            </w:tcMar>
            <w:shd w:fill="F7F9FB"/>
            <w:vAlign w:val="top"/>
          </w:tcPr>
          <w:p>
            <w:pPr>
              <w:spacing w:after="0"/>
            </w:pPr>
            <w:r>
              <w:rPr>
                <w:color w:val="1F2933"/>
                <w:sz w:val="13"/>
              </w:rPr>
              <w:t>Production-readiness report.</w:t>
            </w:r>
          </w:p>
        </w:tc>
        <w:tc>
          <w:tcPr>
            <w:tcW w:type="dxa" w:w="2232"/>
            <w:tcMar>
              <w:top w:w="80" w:type="dxa"/>
              <w:start w:w="90" w:type="dxa"/>
              <w:bottom w:w="80" w:type="dxa"/>
              <w:end w:w="90" w:type="dxa"/>
            </w:tcMar>
            <w:shd w:fill="F7F9FB"/>
            <w:vAlign w:val="top"/>
          </w:tcPr>
          <w:p>
            <w:pPr>
              <w:spacing w:after="0"/>
            </w:pPr>
            <w:r>
              <w:rPr>
                <w:color w:val="1F2933"/>
                <w:sz w:val="13"/>
              </w:rPr>
              <w:t>Critical failure scenarios fail closed and recover deterministically.</w:t>
            </w:r>
          </w:p>
        </w:tc>
      </w:tr>
      <w:tr>
        <w:trPr>
          <w:cantSplit/>
        </w:trPr>
        <w:tc>
          <w:tcPr>
            <w:tcW w:type="dxa" w:w="1656"/>
            <w:tcMar>
              <w:top w:w="80" w:type="dxa"/>
              <w:start w:w="90" w:type="dxa"/>
              <w:bottom w:w="80" w:type="dxa"/>
              <w:end w:w="90" w:type="dxa"/>
            </w:tcMar>
            <w:vAlign w:val="top"/>
          </w:tcPr>
          <w:p>
            <w:pPr>
              <w:spacing w:after="0"/>
            </w:pPr>
            <w:r>
              <w:rPr>
                <w:color w:val="1F2933"/>
                <w:sz w:val="13"/>
              </w:rPr>
              <w:t>P16 — AWS V1 Deployment</w:t>
            </w:r>
          </w:p>
        </w:tc>
        <w:tc>
          <w:tcPr>
            <w:tcW w:type="dxa" w:w="4392"/>
            <w:tcMar>
              <w:top w:w="80" w:type="dxa"/>
              <w:start w:w="90" w:type="dxa"/>
              <w:bottom w:w="80" w:type="dxa"/>
              <w:end w:w="90" w:type="dxa"/>
            </w:tcMar>
            <w:vAlign w:val="top"/>
          </w:tcPr>
          <w:p>
            <w:pPr>
              <w:spacing w:after="0"/>
            </w:pPr>
            <w:r>
              <w:rPr>
                <w:color w:val="1F2933"/>
                <w:sz w:val="13"/>
              </w:rPr>
              <w:t>Terraform/minimal infra, EC2/EBS/S3/ECR/IAM/Secrets/CloudWatch, immutable release workflow and rollback.</w:t>
            </w:r>
          </w:p>
        </w:tc>
        <w:tc>
          <w:tcPr>
            <w:tcW w:type="dxa" w:w="2520"/>
            <w:tcMar>
              <w:top w:w="80" w:type="dxa"/>
              <w:start w:w="90" w:type="dxa"/>
              <w:bottom w:w="80" w:type="dxa"/>
              <w:end w:w="90" w:type="dxa"/>
            </w:tcMar>
            <w:vAlign w:val="top"/>
          </w:tcPr>
          <w:p>
            <w:pPr>
              <w:spacing w:after="0"/>
            </w:pPr>
            <w:r>
              <w:rPr>
                <w:color w:val="1F2933"/>
                <w:sz w:val="13"/>
              </w:rPr>
              <w:t>Reproducible cloud environment.</w:t>
            </w:r>
          </w:p>
        </w:tc>
        <w:tc>
          <w:tcPr>
            <w:tcW w:type="dxa" w:w="2232"/>
            <w:tcMar>
              <w:top w:w="80" w:type="dxa"/>
              <w:start w:w="90" w:type="dxa"/>
              <w:bottom w:w="80" w:type="dxa"/>
              <w:end w:w="90" w:type="dxa"/>
            </w:tcMar>
            <w:vAlign w:val="top"/>
          </w:tcPr>
          <w:p>
            <w:pPr>
              <w:spacing w:after="0"/>
            </w:pPr>
            <w:r>
              <w:rPr>
                <w:color w:val="1F2933"/>
                <w:sz w:val="13"/>
              </w:rPr>
              <w:t>Fresh deployment from code; no manual server patching.</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P17 — Shadow + Champion/Challenger</w:t>
            </w:r>
          </w:p>
        </w:tc>
        <w:tc>
          <w:tcPr>
            <w:tcW w:type="dxa" w:w="4392"/>
            <w:tcMar>
              <w:top w:w="80" w:type="dxa"/>
              <w:start w:w="90" w:type="dxa"/>
              <w:bottom w:w="80" w:type="dxa"/>
              <w:end w:w="90" w:type="dxa"/>
            </w:tcMar>
            <w:shd w:fill="F7F9FB"/>
            <w:vAlign w:val="top"/>
          </w:tcPr>
          <w:p>
            <w:pPr>
              <w:spacing w:after="0"/>
            </w:pPr>
            <w:r>
              <w:rPr>
                <w:color w:val="1F2933"/>
                <w:sz w:val="13"/>
              </w:rPr>
              <w:t>Approved champion and new challenger consume same live feed; challenger generates decisions only.</w:t>
            </w:r>
          </w:p>
        </w:tc>
        <w:tc>
          <w:tcPr>
            <w:tcW w:type="dxa" w:w="2520"/>
            <w:tcMar>
              <w:top w:w="80" w:type="dxa"/>
              <w:start w:w="90" w:type="dxa"/>
              <w:bottom w:w="80" w:type="dxa"/>
              <w:end w:w="90" w:type="dxa"/>
            </w:tcMar>
            <w:shd w:fill="F7F9FB"/>
            <w:vAlign w:val="top"/>
          </w:tcPr>
          <w:p>
            <w:pPr>
              <w:spacing w:after="0"/>
            </w:pPr>
            <w:r>
              <w:rPr>
                <w:color w:val="1F2933"/>
                <w:sz w:val="13"/>
              </w:rPr>
              <w:t>Shadow comparison, drift/calibration/latency reports.</w:t>
            </w:r>
          </w:p>
        </w:tc>
        <w:tc>
          <w:tcPr>
            <w:tcW w:type="dxa" w:w="2232"/>
            <w:tcMar>
              <w:top w:w="80" w:type="dxa"/>
              <w:start w:w="90" w:type="dxa"/>
              <w:bottom w:w="80" w:type="dxa"/>
              <w:end w:w="90" w:type="dxa"/>
            </w:tcMar>
            <w:shd w:fill="F7F9FB"/>
            <w:vAlign w:val="top"/>
          </w:tcPr>
          <w:p>
            <w:pPr>
              <w:spacing w:after="0"/>
            </w:pPr>
            <w:r>
              <w:rPr>
                <w:color w:val="1F2933"/>
                <w:sz w:val="13"/>
              </w:rPr>
              <w:t>Stable live evidence and no unresolved critical discrepancies.</w:t>
            </w:r>
          </w:p>
        </w:tc>
      </w:tr>
      <w:tr>
        <w:trPr>
          <w:cantSplit/>
        </w:trPr>
        <w:tc>
          <w:tcPr>
            <w:tcW w:type="dxa" w:w="1656"/>
            <w:tcMar>
              <w:top w:w="80" w:type="dxa"/>
              <w:start w:w="90" w:type="dxa"/>
              <w:bottom w:w="80" w:type="dxa"/>
              <w:end w:w="90" w:type="dxa"/>
            </w:tcMar>
            <w:vAlign w:val="top"/>
          </w:tcPr>
          <w:p>
            <w:pPr>
              <w:spacing w:after="0"/>
            </w:pPr>
            <w:r>
              <w:rPr>
                <w:color w:val="1F2933"/>
                <w:sz w:val="13"/>
              </w:rPr>
              <w:t>P18 — Tiny Controlled Live</w:t>
            </w:r>
          </w:p>
        </w:tc>
        <w:tc>
          <w:tcPr>
            <w:tcW w:type="dxa" w:w="4392"/>
            <w:tcMar>
              <w:top w:w="80" w:type="dxa"/>
              <w:start w:w="90" w:type="dxa"/>
              <w:bottom w:w="80" w:type="dxa"/>
              <w:end w:w="90" w:type="dxa"/>
            </w:tcMar>
            <w:vAlign w:val="top"/>
          </w:tcPr>
          <w:p>
            <w:pPr>
              <w:spacing w:after="0"/>
            </w:pPr>
            <w:r>
              <w:rPr>
                <w:color w:val="1F2933"/>
                <w:sz w:val="13"/>
              </w:rPr>
              <w:t>Explicit compliance/broker/current-rule review, small hard-capped capital, operator runbook, monitoring/on-call procedures.</w:t>
            </w:r>
          </w:p>
        </w:tc>
        <w:tc>
          <w:tcPr>
            <w:tcW w:type="dxa" w:w="2520"/>
            <w:tcMar>
              <w:top w:w="80" w:type="dxa"/>
              <w:start w:w="90" w:type="dxa"/>
              <w:bottom w:w="80" w:type="dxa"/>
              <w:end w:w="90" w:type="dxa"/>
            </w:tcMar>
            <w:vAlign w:val="top"/>
          </w:tcPr>
          <w:p>
            <w:pPr>
              <w:spacing w:after="0"/>
            </w:pPr>
            <w:r>
              <w:rPr>
                <w:color w:val="1F2933"/>
                <w:sz w:val="13"/>
              </w:rPr>
              <w:t>Human-approved tiny-live release.</w:t>
            </w:r>
          </w:p>
        </w:tc>
        <w:tc>
          <w:tcPr>
            <w:tcW w:type="dxa" w:w="2232"/>
            <w:tcMar>
              <w:top w:w="80" w:type="dxa"/>
              <w:start w:w="90" w:type="dxa"/>
              <w:bottom w:w="80" w:type="dxa"/>
              <w:end w:w="90" w:type="dxa"/>
            </w:tcMar>
            <w:vAlign w:val="top"/>
          </w:tcPr>
          <w:p>
            <w:pPr>
              <w:spacing w:after="0"/>
            </w:pPr>
            <w:r>
              <w:rPr>
                <w:color w:val="1F2933"/>
                <w:sz w:val="13"/>
              </w:rPr>
              <w:t>Observed execution/risk behavior consistent with paper/shadow assumptions.</w:t>
            </w:r>
          </w:p>
        </w:tc>
      </w:tr>
      <w:tr>
        <w:trPr>
          <w:cantSplit/>
        </w:trPr>
        <w:tc>
          <w:tcPr>
            <w:tcW w:type="dxa" w:w="1656"/>
            <w:tcMar>
              <w:top w:w="80" w:type="dxa"/>
              <w:start w:w="90" w:type="dxa"/>
              <w:bottom w:w="80" w:type="dxa"/>
              <w:end w:w="90" w:type="dxa"/>
            </w:tcMar>
            <w:shd w:fill="F7F9FB"/>
            <w:vAlign w:val="top"/>
          </w:tcPr>
          <w:p>
            <w:pPr>
              <w:spacing w:after="0"/>
            </w:pPr>
            <w:r>
              <w:rPr>
                <w:color w:val="1F2933"/>
                <w:sz w:val="13"/>
              </w:rPr>
              <w:t>P19 — Controlled Production / HA When Earned</w:t>
            </w:r>
          </w:p>
        </w:tc>
        <w:tc>
          <w:tcPr>
            <w:tcW w:type="dxa" w:w="4392"/>
            <w:tcMar>
              <w:top w:w="80" w:type="dxa"/>
              <w:start w:w="90" w:type="dxa"/>
              <w:bottom w:w="80" w:type="dxa"/>
              <w:end w:w="90" w:type="dxa"/>
            </w:tcMar>
            <w:shd w:fill="F7F9FB"/>
            <w:vAlign w:val="top"/>
          </w:tcPr>
          <w:p>
            <w:pPr>
              <w:spacing w:after="0"/>
            </w:pPr>
            <w:r>
              <w:rPr>
                <w:color w:val="1F2933"/>
                <w:sz w:val="13"/>
              </w:rPr>
              <w:t>Scale capital slowly; add managed DB/cache, standby execution, stronger HA/backup only after measured need.</w:t>
            </w:r>
          </w:p>
        </w:tc>
        <w:tc>
          <w:tcPr>
            <w:tcW w:type="dxa" w:w="2520"/>
            <w:tcMar>
              <w:top w:w="80" w:type="dxa"/>
              <w:start w:w="90" w:type="dxa"/>
              <w:bottom w:w="80" w:type="dxa"/>
              <w:end w:w="90" w:type="dxa"/>
            </w:tcMar>
            <w:shd w:fill="F7F9FB"/>
            <w:vAlign w:val="top"/>
          </w:tcPr>
          <w:p>
            <w:pPr>
              <w:spacing w:after="0"/>
            </w:pPr>
            <w:r>
              <w:rPr>
                <w:color w:val="1F2933"/>
                <w:sz w:val="13"/>
              </w:rPr>
              <w:t>Production SLOs and capacity plan.</w:t>
            </w:r>
          </w:p>
        </w:tc>
        <w:tc>
          <w:tcPr>
            <w:tcW w:type="dxa" w:w="2232"/>
            <w:tcMar>
              <w:top w:w="80" w:type="dxa"/>
              <w:start w:w="90" w:type="dxa"/>
              <w:bottom w:w="80" w:type="dxa"/>
              <w:end w:w="90" w:type="dxa"/>
            </w:tcMar>
            <w:shd w:fill="F7F9FB"/>
            <w:vAlign w:val="top"/>
          </w:tcPr>
          <w:p>
            <w:pPr>
              <w:spacing w:after="0"/>
            </w:pPr>
            <w:r>
              <w:rPr>
                <w:color w:val="1F2933"/>
                <w:sz w:val="13"/>
              </w:rPr>
              <w:t>Scale based on evidence, not architecture ambition.</w:t>
            </w:r>
          </w:p>
        </w:tc>
      </w:tr>
    </w:tbl>
    <w:p>
      <w:pPr>
        <w:spacing w:after="0"/>
      </w:pPr>
    </w:p>
    <w:p>
      <w:r>
        <w:br w:type="page"/>
      </w:r>
    </w:p>
    <w:p>
      <w:pPr>
        <w:pStyle w:val="Heading1"/>
      </w:pPr>
      <w:r>
        <w:t>15. Immediate Execution Plan — Exact Order From Today</w:t>
      </w:r>
    </w:p>
    <w:p>
      <w:r>
        <w:t>The roadmap above is the full program. The following is the concrete sequence to execute now. We stop at each checkpoint, review, commit, and only then continue.</w:t>
      </w:r>
    </w:p>
    <w:p>
      <w:pPr>
        <w:spacing w:before="100" w:after="40"/>
      </w:pPr>
      <w:r>
        <w:rPr>
          <w:b/>
          <w:color w:val="17365D"/>
        </w:rPr>
        <w:t>Step 1 — Freeze architecture (P0)</w:t>
      </w:r>
    </w:p>
    <w:p>
      <w:pPr>
        <w:spacing w:after="80"/>
        <w:ind w:left="259"/>
      </w:pPr>
      <w:r>
        <w:t>Approve this document as the design baseline. Convert the key contracts/state machines into the repository master specification. Do not create dozens of docs; keep one canonical architecture/design document plus the existing master spec/roadmap.</w:t>
      </w:r>
    </w:p>
    <w:p>
      <w:pPr>
        <w:spacing w:before="100" w:after="40"/>
      </w:pPr>
      <w:r>
        <w:rPr>
          <w:b/>
          <w:color w:val="17365D"/>
        </w:rPr>
        <w:t>Step 2 — Minimal project bootstrap (P1)</w:t>
      </w:r>
    </w:p>
    <w:p>
      <w:pPr>
        <w:spacing w:after="80"/>
        <w:ind w:left="259"/>
      </w:pPr>
      <w:r>
        <w:t>Create pyproject.toml + lock strategy, src package, tests, config skeleton, Docker Compose placeholder, CI workflow, Makefile/task commands, .env.example. Keep folders minimal and create new modules only when a phase starts.</w:t>
      </w:r>
    </w:p>
    <w:p>
      <w:pPr>
        <w:spacing w:before="100" w:after="40"/>
      </w:pPr>
      <w:r>
        <w:rPr>
          <w:b/>
          <w:color w:val="17365D"/>
        </w:rPr>
        <w:t>Step 3 — Engineering primitives</w:t>
      </w:r>
    </w:p>
    <w:p>
      <w:pPr>
        <w:spacing w:after="80"/>
        <w:ind w:left="259"/>
      </w:pPr>
      <w:r>
        <w:t>Implement typed IDs, UTC/exchange time helpers, monotonic timer helper, structured logging, error taxonomy, environment enum, version metadata and configuration validation. These become dependencies for every later component.</w:t>
      </w:r>
    </w:p>
    <w:p>
      <w:pPr>
        <w:spacing w:before="100" w:after="40"/>
      </w:pPr>
      <w:r>
        <w:rPr>
          <w:b/>
          <w:color w:val="17365D"/>
        </w:rPr>
        <w:t>Step 4 — Domain contracts</w:t>
      </w:r>
    </w:p>
    <w:p>
      <w:pPr>
        <w:spacing w:after="80"/>
        <w:ind w:left="259"/>
      </w:pPr>
      <w:r>
        <w:t>Implement EventEnvelope, Instrument, TradingSession, DataQualityState, MarketStateSnapshot, FeatureVector, SignalCandidate, OpportunityDecision, OptionCandidate, CapitalAllocation, RiskDecision, OrderIntent, Fill, PositionState, ReconciliationResult, Experiment and ReleaseManifest.</w:t>
      </w:r>
    </w:p>
    <w:p>
      <w:pPr>
        <w:spacing w:before="100" w:after="40"/>
      </w:pPr>
      <w:r>
        <w:rPr>
          <w:b/>
          <w:color w:val="17365D"/>
        </w:rPr>
        <w:t>Step 5 — Synthetic fixtures first</w:t>
      </w:r>
    </w:p>
    <w:p>
      <w:pPr>
        <w:spacing w:after="80"/>
        <w:ind w:left="259"/>
      </w:pPr>
      <w:r>
        <w:t>Build a deterministic synthetic market generator for trends, ranges, gaps, bad ticks, stale quotes and partial option chains. This lets us test architecture before broker data is trusted.</w:t>
      </w:r>
    </w:p>
    <w:p>
      <w:pPr>
        <w:spacing w:before="100" w:after="40"/>
      </w:pPr>
      <w:r>
        <w:rPr>
          <w:b/>
          <w:color w:val="17365D"/>
        </w:rPr>
        <w:t>Step 6 — Reference/time subsystem (P2)</w:t>
      </w:r>
    </w:p>
    <w:p>
      <w:pPr>
        <w:spacing w:after="80"/>
        <w:ind w:left="259"/>
      </w:pPr>
      <w:r>
        <w:t>Instrument master, expiry/lot/tick metadata, exchange calendar, session state machine, effective-dated fee/reference records, as-of lookups and tests.</w:t>
      </w:r>
    </w:p>
    <w:p>
      <w:pPr>
        <w:spacing w:before="100" w:after="40"/>
      </w:pPr>
      <w:r>
        <w:rPr>
          <w:b/>
          <w:color w:val="17365D"/>
        </w:rPr>
        <w:t>Step 7 — One data provider only (P3)</w:t>
      </w:r>
    </w:p>
    <w:p>
      <w:pPr>
        <w:spacing w:after="80"/>
        <w:ind w:left="259"/>
      </w:pPr>
      <w:r>
        <w:t>Choose one provider/broker for the first adapter. Implement historical retrieval, live WebSocket recorder, canonical normalization, raw Parquet writer and dataset manifest. Do not implement four brokers at once.</w:t>
      </w:r>
    </w:p>
    <w:p>
      <w:pPr>
        <w:spacing w:before="100" w:after="40"/>
      </w:pPr>
      <w:r>
        <w:rPr>
          <w:b/>
          <w:color w:val="17365D"/>
        </w:rPr>
        <w:t>Step 8 — Quality/watermark/state (P4)</w:t>
      </w:r>
    </w:p>
    <w:p>
      <w:pPr>
        <w:spacing w:after="80"/>
        <w:ind w:left="259"/>
      </w:pPr>
      <w:r>
        <w:t>Create duplicate/gap/stale checks, option chain checkpoint+delta representation, watermarks, market-state snapshots and fail-closed behavior.</w:t>
      </w:r>
    </w:p>
    <w:p>
      <w:pPr>
        <w:spacing w:before="100" w:after="40"/>
      </w:pPr>
      <w:r>
        <w:rPr>
          <w:b/>
          <w:color w:val="17365D"/>
        </w:rPr>
        <w:t>Step 9 — Parallel universe scanner (P5)</w:t>
      </w:r>
    </w:p>
    <w:p>
      <w:pPr>
        <w:spacing w:after="80"/>
        <w:ind w:left="259"/>
      </w:pPr>
      <w:r>
        <w:t>Wire NIFTY/BANKNIFTY/SENSEX concurrent state, multi-timeframe aggregation, dynamic option universe and cross-index state. Measure processing latency before adding more intelligence.</w:t>
      </w:r>
    </w:p>
    <w:p>
      <w:pPr>
        <w:spacing w:before="100" w:after="40"/>
      </w:pPr>
      <w:r>
        <w:rPr>
          <w:b/>
          <w:color w:val="17365D"/>
        </w:rPr>
        <w:t>Step 10 — Baseline strategy (P6)</w:t>
      </w:r>
    </w:p>
    <w:p>
      <w:pPr>
        <w:spacing w:after="80"/>
        <w:ind w:left="259"/>
      </w:pPr>
      <w:r>
        <w:t>Implement only the simple EMA/RSI benchmark and deterministic signal contract. No ML or complex discretionary rules yet.</w:t>
      </w:r>
    </w:p>
    <w:p>
      <w:pPr>
        <w:spacing w:before="100" w:after="40"/>
      </w:pPr>
      <w:r>
        <w:rPr>
          <w:b/>
          <w:color w:val="17365D"/>
        </w:rPr>
        <w:t>Step 11 — Trustworthy backtest (P7)</w:t>
      </w:r>
    </w:p>
    <w:p>
      <w:pPr>
        <w:spacing w:after="80"/>
        <w:ind w:left="259"/>
      </w:pPr>
      <w:r>
        <w:t>Build the event-driven simulator, costs, fills, ledger, MAE/MFE, experiment registry and leakage tests before optimizing strategy.</w:t>
      </w:r>
    </w:p>
    <w:p>
      <w:pPr>
        <w:spacing w:before="100" w:after="40"/>
      </w:pPr>
      <w:r>
        <w:rPr>
          <w:b/>
          <w:color w:val="17365D"/>
        </w:rPr>
        <w:t>Step 12 — Continue P8 onward only after evidence</w:t>
      </w:r>
    </w:p>
    <w:p>
      <w:pPr>
        <w:spacing w:after="80"/>
        <w:ind w:left="259"/>
      </w:pPr>
      <w:r>
        <w:t>Add structure/regimes/options/opportunity/risk/execution in roadmap order, with tests and phase gates. Each strategy-affecting change must have measurable evidence and rollback/version lineage.</w:t>
      </w:r>
    </w:p>
    <w:p>
      <w:pPr>
        <w:pStyle w:val="Heading1"/>
      </w:pPr>
      <w:r>
        <w:t>16. Architecture Freeze Checklist</w:t>
      </w:r>
    </w:p>
    <w:p>
      <w:pPr>
        <w:pStyle w:val="ListNumber"/>
      </w:pPr>
      <w:r>
        <w:t>Can every decision be reproduced from data/config/code/model/feature/risk versions?</w:t>
      </w:r>
    </w:p>
    <w:p>
      <w:pPr>
        <w:pStyle w:val="ListNumber"/>
      </w:pPr>
      <w:r>
        <w:t>Can a future-data mutation after decision time leave the earlier decision unchanged?</w:t>
      </w:r>
    </w:p>
    <w:p>
      <w:pPr>
        <w:pStyle w:val="ListNumber"/>
      </w:pPr>
      <w:r>
        <w:t>Can the platform analyse NIFTY, BANKNIFTY and SENSEX simultaneously without sequential blocking?</w:t>
      </w:r>
    </w:p>
    <w:p>
      <w:pPr>
        <w:pStyle w:val="ListNumber"/>
      </w:pPr>
      <w:r>
        <w:t>Can CE and PE option economics reject an otherwise strong directional signal?</w:t>
      </w:r>
    </w:p>
    <w:p>
      <w:pPr>
        <w:pStyle w:val="ListNumber"/>
      </w:pPr>
      <w:r>
        <w:t>Can data confidence veto high signal confidence?</w:t>
      </w:r>
    </w:p>
    <w:p>
      <w:pPr>
        <w:pStyle w:val="ListNumber"/>
      </w:pPr>
      <w:r>
        <w:t>Can risk veto/resize without strategy override?</w:t>
      </w:r>
    </w:p>
    <w:p>
      <w:pPr>
        <w:pStyle w:val="ListNumber"/>
      </w:pPr>
      <w:r>
        <w:t>Can the Safety Kernel reject stale/expired decisions immediately before send?</w:t>
      </w:r>
    </w:p>
    <w:p>
      <w:pPr>
        <w:pStyle w:val="ListNumber"/>
      </w:pPr>
      <w:r>
        <w:t>Can duplicate/timeout broker responses avoid duplicate risk through UNKNOWN + reconciliation?</w:t>
      </w:r>
    </w:p>
    <w:p>
      <w:pPr>
        <w:pStyle w:val="ListNumber"/>
      </w:pPr>
      <w:r>
        <w:t>Can restart recovery reconstruct state and compare it with broker truth before ARM?</w:t>
      </w:r>
    </w:p>
    <w:p>
      <w:pPr>
        <w:pStyle w:val="ListNumber"/>
      </w:pPr>
      <w:r>
        <w:t>Can the platform run backtest/replay/paper/shadow using the same core decision contracts?</w:t>
      </w:r>
    </w:p>
    <w:p>
      <w:pPr>
        <w:pStyle w:val="ListNumber"/>
      </w:pPr>
      <w:r>
        <w:t>Can a challenger observe the same live feed without transmitting orders?</w:t>
      </w:r>
    </w:p>
    <w:p>
      <w:pPr>
        <w:pStyle w:val="ListNumber"/>
      </w:pPr>
      <w:r>
        <w:t>Can a new software release be compared and rolled back without manual server edits?</w:t>
      </w:r>
    </w:p>
    <w:p>
      <w:pPr>
        <w:pStyle w:val="ListNumber"/>
      </w:pPr>
      <w:r>
        <w:t>Can we measure end-to-end and stage-level latency (p50/p95/p99)?</w:t>
      </w:r>
    </w:p>
    <w:p>
      <w:pPr>
        <w:pStyle w:val="ListNumber"/>
      </w:pPr>
      <w:r>
        <w:t>Can the system degrade to EXIT_ONLY/HALTED safely when critical dependencies fail?</w:t>
      </w:r>
    </w:p>
    <w:p>
      <w:pPr>
        <w:pStyle w:val="ListNumber"/>
      </w:pPr>
      <w:r>
        <w:t>Can an operator explain every trade and every skipped/rejected opportunity after the fact?</w:t>
      </w:r>
    </w:p>
    <w:p>
      <w:pPr>
        <w:pStyle w:val="ListNumber"/>
      </w:pPr>
      <w:r>
        <w:t>Can we add/remove features/strategies without redesigning risk, execution or data contracts?</w:t>
      </w:r>
    </w:p>
    <w:tbl>
      <w:tblPr>
        <w:tblW w:type="auto" w:w="0"/>
        <w:jc w:val="center"/>
        <w:tblLook w:firstColumn="1" w:firstRow="1" w:lastColumn="0" w:lastRow="0" w:noHBand="0" w:noVBand="1" w:val="04A0"/>
      </w:tblPr>
      <w:tblGrid>
        <w:gridCol w:w="10282"/>
      </w:tblGrid>
      <w:tr>
        <w:tc>
          <w:tcPr>
            <w:tcW w:type="dxa" w:w="10282"/>
            <w:shd w:fill="EAF7F0"/>
            <w:tcMar>
              <w:top w:w="120" w:type="dxa"/>
              <w:start w:w="160" w:type="dxa"/>
              <w:bottom w:w="120" w:type="dxa"/>
              <w:end w:w="160" w:type="dxa"/>
            </w:tcMar>
          </w:tcPr>
          <w:p>
            <w:r>
              <w:rPr>
                <w:b/>
                <w:color w:val="17365D"/>
              </w:rPr>
              <w:t xml:space="preserve">Architecture freeze decision: </w:t>
            </w:r>
            <w:r>
              <w:t>Once this checklist is accepted, stop adding speculative components. Start P1. New architecture changes require a concrete measured need or a discovered correctness/safety gap.</w:t>
            </w:r>
          </w:p>
        </w:tc>
      </w:tr>
    </w:tbl>
    <w:p>
      <w:pPr>
        <w:spacing w:after="0"/>
      </w:pPr>
    </w:p>
    <w:p>
      <w:pPr>
        <w:pStyle w:val="Heading2"/>
      </w:pPr>
      <w:r>
        <w:t>Final Build Principle</w:t>
      </w:r>
    </w:p>
    <w:p>
      <w:pPr>
        <w:jc w:val="center"/>
      </w:pPr>
      <w:r>
        <w:rPr>
          <w:b/>
          <w:color w:val="17365D"/>
          <w:sz w:val="26"/>
        </w:rPr>
        <w:t>SOPHISTICATED RESEARCH  +  SIMPLE LIVE PATH  +  HARD SAFETY BOUNDARIES</w:t>
      </w:r>
    </w:p>
    <w:p>
      <w:pPr>
        <w:jc w:val="center"/>
      </w:pPr>
      <w:r>
        <w:rPr>
          <w:i/>
          <w:color w:val="5A6670"/>
          <w:sz w:val="20"/>
        </w:rPr>
        <w:t>The platform wins by making better measurable decisions consistently — not by maximizing indicators, models, services or trades.</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670"/>
        <w:sz w:val="15"/>
      </w:rPr>
      <w:t>Adaptive Market Intelligence Platform  |  Final Architecture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2D7D73"/>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Market Intelligence Platform — Final Architecture v2</dc:title>
  <dc:subject>Production-grade HLD, LLD and step-by-step implementation roadmap for Indian index F&amp;O research and execution.</dc:subject>
  <dc:creator>OpenAI</dc:creator>
  <cp:keywords>quantitative trading, options, NIFTY, BANKNIFTY, SENSEX, architecture, HLD, LLD, risk, execution</cp:keywords>
  <dc:description>generated by python-docx</dc:description>
  <cp:lastModifiedBy/>
  <cp:revision>1</cp:revision>
  <dcterms:created xsi:type="dcterms:W3CDTF">2013-12-23T23:15:00Z</dcterms:created>
  <dcterms:modified xsi:type="dcterms:W3CDTF">2013-12-23T23:15:00Z</dcterms:modified>
  <cp:category/>
</cp:coreProperties>
</file>